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W w:w="0" w:type="auto"/>
        <w:jc w:val="center"/>
        <w:tblLook w:val="04A0" w:firstRow="1" w:lastRow="0" w:firstColumn="1" w:lastColumn="0" w:noHBand="0" w:noVBand="1"/>
      </w:tblPr>
      <w:tblGrid>
        <w:gridCol w:w="4786"/>
        <w:gridCol w:w="5812"/>
        <w:gridCol w:w="1979"/>
        <w:gridCol w:w="1643"/>
      </w:tblGrid>
      <w:tr w:rsidR="00D1609D" w:rsidRPr="00EF6FF9" w:rsidTr="00EF6FF9">
        <w:trPr>
          <w:jc w:val="center"/>
        </w:trPr>
        <w:tc>
          <w:tcPr>
            <w:tcW w:w="4786" w:type="dxa"/>
            <w:shd w:val="clear" w:color="auto" w:fill="548DD4" w:themeFill="text2" w:themeFillTint="99"/>
            <w:vAlign w:val="center"/>
          </w:tcPr>
          <w:p w:rsidR="00D1609D" w:rsidRPr="00EF6FF9" w:rsidRDefault="00D1609D" w:rsidP="00EF6FF9">
            <w:pPr>
              <w:jc w:val="center"/>
              <w:rPr>
                <w:rFonts w:ascii="Arial" w:hAnsi="Arial" w:cs="Arial"/>
                <w:b/>
                <w:sz w:val="24"/>
                <w:szCs w:val="24"/>
              </w:rPr>
            </w:pPr>
            <w:r w:rsidRPr="00EF6FF9">
              <w:rPr>
                <w:rFonts w:ascii="Arial" w:hAnsi="Arial" w:cs="Arial"/>
                <w:b/>
                <w:sz w:val="24"/>
                <w:szCs w:val="24"/>
              </w:rPr>
              <w:t>RECOMENDACIONES NO ATENDIDAS</w:t>
            </w:r>
          </w:p>
        </w:tc>
        <w:tc>
          <w:tcPr>
            <w:tcW w:w="5812" w:type="dxa"/>
            <w:shd w:val="clear" w:color="auto" w:fill="548DD4" w:themeFill="text2" w:themeFillTint="99"/>
            <w:vAlign w:val="center"/>
          </w:tcPr>
          <w:p w:rsidR="00D1609D" w:rsidRPr="00EF6FF9" w:rsidRDefault="00D1609D" w:rsidP="00EF6FF9">
            <w:pPr>
              <w:jc w:val="center"/>
              <w:rPr>
                <w:rFonts w:ascii="Arial" w:hAnsi="Arial" w:cs="Arial"/>
                <w:b/>
                <w:sz w:val="24"/>
                <w:szCs w:val="24"/>
              </w:rPr>
            </w:pPr>
            <w:r w:rsidRPr="00EF6FF9">
              <w:rPr>
                <w:rFonts w:ascii="Arial" w:hAnsi="Arial" w:cs="Arial"/>
                <w:b/>
                <w:sz w:val="24"/>
                <w:szCs w:val="24"/>
              </w:rPr>
              <w:t>JUSTIFICACIÓN</w:t>
            </w:r>
          </w:p>
        </w:tc>
        <w:tc>
          <w:tcPr>
            <w:tcW w:w="1979" w:type="dxa"/>
            <w:shd w:val="clear" w:color="auto" w:fill="548DD4" w:themeFill="text2" w:themeFillTint="99"/>
            <w:vAlign w:val="center"/>
          </w:tcPr>
          <w:p w:rsidR="00D1609D" w:rsidRPr="00EF6FF9" w:rsidRDefault="00D1609D" w:rsidP="00EF6FF9">
            <w:pPr>
              <w:jc w:val="center"/>
              <w:rPr>
                <w:rFonts w:ascii="Arial" w:hAnsi="Arial" w:cs="Arial"/>
                <w:b/>
                <w:sz w:val="24"/>
                <w:szCs w:val="24"/>
              </w:rPr>
            </w:pPr>
            <w:r w:rsidRPr="00EF6FF9">
              <w:rPr>
                <w:rFonts w:ascii="Arial" w:hAnsi="Arial" w:cs="Arial"/>
                <w:b/>
                <w:sz w:val="24"/>
                <w:szCs w:val="24"/>
              </w:rPr>
              <w:t>EVALUACIÓN</w:t>
            </w:r>
          </w:p>
        </w:tc>
        <w:tc>
          <w:tcPr>
            <w:tcW w:w="1643" w:type="dxa"/>
            <w:shd w:val="clear" w:color="auto" w:fill="548DD4" w:themeFill="text2" w:themeFillTint="99"/>
            <w:vAlign w:val="center"/>
          </w:tcPr>
          <w:p w:rsidR="00D1609D" w:rsidRPr="00EF6FF9" w:rsidRDefault="00D1609D" w:rsidP="00EF6FF9">
            <w:pPr>
              <w:jc w:val="center"/>
              <w:rPr>
                <w:rFonts w:ascii="Arial" w:hAnsi="Arial" w:cs="Arial"/>
                <w:b/>
                <w:sz w:val="24"/>
                <w:szCs w:val="24"/>
              </w:rPr>
            </w:pPr>
            <w:r w:rsidRPr="00EF6FF9">
              <w:rPr>
                <w:rFonts w:ascii="Arial" w:hAnsi="Arial" w:cs="Arial"/>
                <w:b/>
                <w:sz w:val="24"/>
                <w:szCs w:val="24"/>
              </w:rPr>
              <w:t>AFECTAN AL PROPÓSITO</w:t>
            </w:r>
          </w:p>
        </w:tc>
      </w:tr>
      <w:tr w:rsidR="00D1609D" w:rsidRPr="00EF6FF9" w:rsidTr="00EF6FF9">
        <w:trPr>
          <w:jc w:val="center"/>
        </w:trPr>
        <w:tc>
          <w:tcPr>
            <w:tcW w:w="4786" w:type="dxa"/>
            <w:vAlign w:val="center"/>
          </w:tcPr>
          <w:p w:rsidR="00D1609D" w:rsidRPr="00EF6FF9" w:rsidRDefault="00D1609D" w:rsidP="00EF6FF9">
            <w:pPr>
              <w:jc w:val="center"/>
              <w:rPr>
                <w:rFonts w:ascii="Arial" w:hAnsi="Arial" w:cs="Arial"/>
                <w:sz w:val="24"/>
                <w:szCs w:val="24"/>
              </w:rPr>
            </w:pPr>
            <w:r w:rsidRPr="00EF6FF9">
              <w:rPr>
                <w:rFonts w:ascii="Arial" w:hAnsi="Arial" w:cs="Arial"/>
                <w:sz w:val="24"/>
                <w:szCs w:val="24"/>
              </w:rPr>
              <w:t>El programa no cuenta con evaluaciones de impacto</w:t>
            </w:r>
          </w:p>
        </w:tc>
        <w:tc>
          <w:tcPr>
            <w:tcW w:w="5812" w:type="dxa"/>
            <w:vAlign w:val="center"/>
          </w:tcPr>
          <w:p w:rsidR="00D1609D" w:rsidRPr="00EF6FF9" w:rsidRDefault="00D1609D" w:rsidP="00EF6FF9">
            <w:pPr>
              <w:jc w:val="center"/>
              <w:rPr>
                <w:rFonts w:ascii="Arial" w:hAnsi="Arial" w:cs="Arial"/>
                <w:sz w:val="24"/>
                <w:szCs w:val="24"/>
              </w:rPr>
            </w:pPr>
            <w:r w:rsidRPr="00EF6FF9">
              <w:rPr>
                <w:rFonts w:ascii="Arial" w:hAnsi="Arial" w:cs="Arial"/>
                <w:sz w:val="24"/>
                <w:szCs w:val="24"/>
              </w:rPr>
              <w:t>Este hallazgo se encuentra fundamentado en el diseño anterior del programa. No se considera adecuado hacer una evaluación tan a corto plazo pues el programa está en rediseño.</w:t>
            </w:r>
          </w:p>
        </w:tc>
        <w:tc>
          <w:tcPr>
            <w:tcW w:w="1979" w:type="dxa"/>
            <w:vAlign w:val="center"/>
          </w:tcPr>
          <w:p w:rsidR="00D1609D" w:rsidRPr="00EF6FF9" w:rsidRDefault="00D1609D" w:rsidP="00EF6FF9">
            <w:pPr>
              <w:jc w:val="center"/>
              <w:rPr>
                <w:rFonts w:ascii="Arial" w:hAnsi="Arial" w:cs="Arial"/>
                <w:sz w:val="24"/>
                <w:szCs w:val="24"/>
              </w:rPr>
            </w:pPr>
            <w:r w:rsidRPr="00EF6FF9">
              <w:rPr>
                <w:rFonts w:ascii="Arial" w:hAnsi="Arial" w:cs="Arial"/>
                <w:sz w:val="24"/>
                <w:szCs w:val="24"/>
              </w:rPr>
              <w:t>Evaluación específica de desempeño 2012-2013</w:t>
            </w:r>
          </w:p>
        </w:tc>
        <w:tc>
          <w:tcPr>
            <w:tcW w:w="1643" w:type="dxa"/>
            <w:vAlign w:val="center"/>
          </w:tcPr>
          <w:p w:rsidR="00D1609D" w:rsidRPr="00EF6FF9" w:rsidRDefault="00D1609D" w:rsidP="00EF6FF9">
            <w:pPr>
              <w:jc w:val="center"/>
              <w:rPr>
                <w:rFonts w:ascii="Arial" w:hAnsi="Arial" w:cs="Arial"/>
                <w:sz w:val="24"/>
                <w:szCs w:val="24"/>
              </w:rPr>
            </w:pPr>
          </w:p>
        </w:tc>
        <w:bookmarkStart w:id="0" w:name="_GoBack"/>
        <w:bookmarkEnd w:id="0"/>
      </w:tr>
      <w:tr w:rsidR="00D1609D" w:rsidRPr="00EF6FF9" w:rsidTr="00EF6FF9">
        <w:trPr>
          <w:jc w:val="center"/>
        </w:trPr>
        <w:tc>
          <w:tcPr>
            <w:tcW w:w="4786" w:type="dxa"/>
            <w:vAlign w:val="center"/>
          </w:tcPr>
          <w:p w:rsidR="00D1609D" w:rsidRPr="00EF6FF9" w:rsidRDefault="00D1609D" w:rsidP="00EF6FF9">
            <w:pPr>
              <w:jc w:val="center"/>
              <w:rPr>
                <w:rFonts w:ascii="Arial" w:hAnsi="Arial" w:cs="Arial"/>
                <w:sz w:val="24"/>
                <w:szCs w:val="24"/>
              </w:rPr>
            </w:pPr>
            <w:r w:rsidRPr="00EF6FF9">
              <w:rPr>
                <w:rFonts w:ascii="Arial" w:hAnsi="Arial" w:cs="Arial"/>
                <w:sz w:val="24"/>
                <w:szCs w:val="24"/>
              </w:rPr>
              <w:t>El diseño atiende a dos problemáticas distintas, en distintos niveles de lógica causal.</w:t>
            </w:r>
          </w:p>
        </w:tc>
        <w:tc>
          <w:tcPr>
            <w:tcW w:w="5812" w:type="dxa"/>
            <w:vAlign w:val="center"/>
          </w:tcPr>
          <w:p w:rsidR="00D1609D" w:rsidRPr="00EF6FF9" w:rsidRDefault="00D1609D" w:rsidP="00EF6FF9">
            <w:pPr>
              <w:jc w:val="center"/>
              <w:rPr>
                <w:rFonts w:ascii="Arial" w:hAnsi="Arial" w:cs="Arial"/>
                <w:sz w:val="24"/>
                <w:szCs w:val="24"/>
              </w:rPr>
            </w:pPr>
            <w:r w:rsidRPr="00EF6FF9">
              <w:rPr>
                <w:rFonts w:ascii="Arial" w:hAnsi="Arial" w:cs="Arial"/>
                <w:sz w:val="24"/>
                <w:szCs w:val="24"/>
              </w:rPr>
              <w:t>Esta debilidad ya fue retomada como ASM en el periodo 2012-2013</w:t>
            </w:r>
          </w:p>
        </w:tc>
        <w:tc>
          <w:tcPr>
            <w:tcW w:w="1979" w:type="dxa"/>
            <w:vAlign w:val="center"/>
          </w:tcPr>
          <w:p w:rsidR="00D1609D" w:rsidRPr="00EF6FF9" w:rsidRDefault="00EF6FF9" w:rsidP="00EF6FF9">
            <w:pPr>
              <w:jc w:val="center"/>
              <w:rPr>
                <w:rFonts w:ascii="Arial" w:hAnsi="Arial" w:cs="Arial"/>
                <w:sz w:val="24"/>
                <w:szCs w:val="24"/>
              </w:rPr>
            </w:pPr>
            <w:r w:rsidRPr="00EF6FF9">
              <w:rPr>
                <w:rFonts w:ascii="Arial" w:hAnsi="Arial" w:cs="Arial"/>
                <w:sz w:val="24"/>
                <w:szCs w:val="24"/>
              </w:rPr>
              <w:t>Evaluación específica de desempeño 2012-2013</w:t>
            </w:r>
          </w:p>
        </w:tc>
        <w:tc>
          <w:tcPr>
            <w:tcW w:w="1643" w:type="dxa"/>
            <w:vAlign w:val="center"/>
          </w:tcPr>
          <w:p w:rsidR="00D1609D" w:rsidRPr="00EF6FF9" w:rsidRDefault="00D1609D" w:rsidP="00EF6FF9">
            <w:pPr>
              <w:jc w:val="center"/>
              <w:rPr>
                <w:rFonts w:ascii="Arial" w:hAnsi="Arial" w:cs="Arial"/>
                <w:sz w:val="24"/>
                <w:szCs w:val="24"/>
              </w:rPr>
            </w:pPr>
          </w:p>
        </w:tc>
      </w:tr>
      <w:tr w:rsidR="00D1609D" w:rsidRPr="00EF6FF9" w:rsidTr="00EF6FF9">
        <w:trPr>
          <w:jc w:val="center"/>
        </w:trPr>
        <w:tc>
          <w:tcPr>
            <w:tcW w:w="4786" w:type="dxa"/>
            <w:vAlign w:val="center"/>
          </w:tcPr>
          <w:p w:rsidR="00D1609D" w:rsidRPr="00EF6FF9" w:rsidRDefault="00D1609D" w:rsidP="00EF6FF9">
            <w:pPr>
              <w:jc w:val="center"/>
              <w:rPr>
                <w:rFonts w:ascii="Arial" w:hAnsi="Arial" w:cs="Arial"/>
                <w:sz w:val="24"/>
                <w:szCs w:val="24"/>
              </w:rPr>
            </w:pPr>
            <w:r w:rsidRPr="00EF6FF9">
              <w:rPr>
                <w:rFonts w:ascii="Arial" w:hAnsi="Arial" w:cs="Arial"/>
                <w:sz w:val="24"/>
                <w:szCs w:val="24"/>
              </w:rPr>
              <w:t xml:space="preserve">En la lógica causal del Programa no queda claro que </w:t>
            </w:r>
            <w:r w:rsidR="002C481D" w:rsidRPr="00EF6FF9">
              <w:rPr>
                <w:rFonts w:ascii="Arial" w:hAnsi="Arial" w:cs="Arial"/>
                <w:sz w:val="24"/>
                <w:szCs w:val="24"/>
              </w:rPr>
              <w:t xml:space="preserve">para prevenir y atender la violencia </w:t>
            </w:r>
            <w:r w:rsidRPr="00EF6FF9">
              <w:rPr>
                <w:rFonts w:ascii="Arial" w:hAnsi="Arial" w:cs="Arial"/>
                <w:sz w:val="24"/>
                <w:szCs w:val="24"/>
              </w:rPr>
              <w:t>sea</w:t>
            </w:r>
            <w:r w:rsidR="002C481D" w:rsidRPr="00EF6FF9">
              <w:rPr>
                <w:rFonts w:ascii="Arial" w:hAnsi="Arial" w:cs="Arial"/>
                <w:sz w:val="24"/>
                <w:szCs w:val="24"/>
              </w:rPr>
              <w:t xml:space="preserve"> suficiente y necesario fortalecer las IMEF</w:t>
            </w:r>
          </w:p>
        </w:tc>
        <w:tc>
          <w:tcPr>
            <w:tcW w:w="5812" w:type="dxa"/>
            <w:vAlign w:val="center"/>
          </w:tcPr>
          <w:p w:rsidR="00D1609D" w:rsidRPr="00EF6FF9" w:rsidRDefault="002C481D" w:rsidP="00EF6FF9">
            <w:pPr>
              <w:jc w:val="center"/>
              <w:rPr>
                <w:rFonts w:ascii="Arial" w:hAnsi="Arial" w:cs="Arial"/>
                <w:sz w:val="24"/>
                <w:szCs w:val="24"/>
              </w:rPr>
            </w:pPr>
            <w:r w:rsidRPr="00EF6FF9">
              <w:rPr>
                <w:rFonts w:ascii="Arial" w:hAnsi="Arial" w:cs="Arial"/>
                <w:sz w:val="24"/>
                <w:szCs w:val="24"/>
              </w:rPr>
              <w:t>Esta debilidad ya fue retomada como ASM en el periodo 2012-2013</w:t>
            </w:r>
          </w:p>
        </w:tc>
        <w:tc>
          <w:tcPr>
            <w:tcW w:w="1979" w:type="dxa"/>
            <w:vAlign w:val="center"/>
          </w:tcPr>
          <w:p w:rsidR="00D1609D" w:rsidRPr="00EF6FF9" w:rsidRDefault="00EF6FF9" w:rsidP="00EF6FF9">
            <w:pPr>
              <w:jc w:val="center"/>
              <w:rPr>
                <w:rFonts w:ascii="Arial" w:hAnsi="Arial" w:cs="Arial"/>
                <w:sz w:val="24"/>
                <w:szCs w:val="24"/>
              </w:rPr>
            </w:pPr>
            <w:r w:rsidRPr="00EF6FF9">
              <w:rPr>
                <w:rFonts w:ascii="Arial" w:hAnsi="Arial" w:cs="Arial"/>
                <w:sz w:val="24"/>
                <w:szCs w:val="24"/>
              </w:rPr>
              <w:t>Evaluación específica de desempeño 2012-2013</w:t>
            </w:r>
          </w:p>
        </w:tc>
        <w:tc>
          <w:tcPr>
            <w:tcW w:w="1643" w:type="dxa"/>
            <w:vAlign w:val="center"/>
          </w:tcPr>
          <w:p w:rsidR="00D1609D" w:rsidRPr="00EF6FF9" w:rsidRDefault="00D1609D" w:rsidP="00EF6FF9">
            <w:pPr>
              <w:jc w:val="center"/>
              <w:rPr>
                <w:rFonts w:ascii="Arial" w:hAnsi="Arial" w:cs="Arial"/>
                <w:sz w:val="24"/>
                <w:szCs w:val="24"/>
              </w:rPr>
            </w:pPr>
          </w:p>
        </w:tc>
      </w:tr>
      <w:tr w:rsidR="00D1609D" w:rsidRPr="00EF6FF9" w:rsidTr="00EF6FF9">
        <w:trPr>
          <w:jc w:val="center"/>
        </w:trPr>
        <w:tc>
          <w:tcPr>
            <w:tcW w:w="4786" w:type="dxa"/>
            <w:vAlign w:val="center"/>
          </w:tcPr>
          <w:p w:rsidR="00D1609D" w:rsidRPr="00EF6FF9" w:rsidRDefault="002C481D" w:rsidP="00EF6FF9">
            <w:pPr>
              <w:jc w:val="center"/>
              <w:rPr>
                <w:rFonts w:ascii="Arial" w:hAnsi="Arial" w:cs="Arial"/>
                <w:sz w:val="24"/>
                <w:szCs w:val="24"/>
              </w:rPr>
            </w:pPr>
            <w:r w:rsidRPr="00EF6FF9">
              <w:rPr>
                <w:rFonts w:ascii="Arial" w:hAnsi="Arial" w:cs="Arial"/>
                <w:sz w:val="24"/>
                <w:szCs w:val="24"/>
              </w:rPr>
              <w:t>La Meta Evaluación 2007-2012 apunta que se necesita más presupuesto para llevar a cabo el programa</w:t>
            </w:r>
          </w:p>
        </w:tc>
        <w:tc>
          <w:tcPr>
            <w:tcW w:w="5812" w:type="dxa"/>
            <w:vAlign w:val="center"/>
          </w:tcPr>
          <w:p w:rsidR="00D1609D" w:rsidRPr="00EF6FF9" w:rsidRDefault="002C481D" w:rsidP="00EF6FF9">
            <w:pPr>
              <w:jc w:val="center"/>
              <w:rPr>
                <w:rFonts w:ascii="Arial" w:hAnsi="Arial" w:cs="Arial"/>
                <w:sz w:val="24"/>
                <w:szCs w:val="24"/>
              </w:rPr>
            </w:pPr>
            <w:r w:rsidRPr="00EF6FF9">
              <w:rPr>
                <w:rFonts w:ascii="Arial" w:hAnsi="Arial" w:cs="Arial"/>
                <w:sz w:val="24"/>
                <w:szCs w:val="24"/>
              </w:rPr>
              <w:t>No se sustenta en un análisis claro de la debilidad en el apartado de Consideraciones sobre la Evolución de Presupuesto</w:t>
            </w:r>
          </w:p>
        </w:tc>
        <w:tc>
          <w:tcPr>
            <w:tcW w:w="1979" w:type="dxa"/>
            <w:vAlign w:val="center"/>
          </w:tcPr>
          <w:p w:rsidR="00D1609D" w:rsidRPr="00EF6FF9" w:rsidRDefault="00EF6FF9" w:rsidP="00EF6FF9">
            <w:pPr>
              <w:jc w:val="center"/>
              <w:rPr>
                <w:rFonts w:ascii="Arial" w:hAnsi="Arial" w:cs="Arial"/>
                <w:sz w:val="24"/>
                <w:szCs w:val="24"/>
              </w:rPr>
            </w:pPr>
            <w:r w:rsidRPr="00EF6FF9">
              <w:rPr>
                <w:rFonts w:ascii="Arial" w:hAnsi="Arial" w:cs="Arial"/>
                <w:sz w:val="24"/>
                <w:szCs w:val="24"/>
              </w:rPr>
              <w:t>Evaluación específica de desempeño 2012-2013</w:t>
            </w:r>
          </w:p>
        </w:tc>
        <w:tc>
          <w:tcPr>
            <w:tcW w:w="1643" w:type="dxa"/>
            <w:vAlign w:val="center"/>
          </w:tcPr>
          <w:p w:rsidR="00D1609D" w:rsidRPr="00EF6FF9" w:rsidRDefault="00D1609D" w:rsidP="00EF6FF9">
            <w:pPr>
              <w:jc w:val="center"/>
              <w:rPr>
                <w:rFonts w:ascii="Arial" w:hAnsi="Arial" w:cs="Arial"/>
                <w:sz w:val="24"/>
                <w:szCs w:val="24"/>
              </w:rPr>
            </w:pPr>
          </w:p>
        </w:tc>
      </w:tr>
      <w:tr w:rsidR="00D1609D" w:rsidRPr="00EF6FF9" w:rsidTr="00EF6FF9">
        <w:trPr>
          <w:jc w:val="center"/>
        </w:trPr>
        <w:tc>
          <w:tcPr>
            <w:tcW w:w="4786" w:type="dxa"/>
            <w:vAlign w:val="center"/>
          </w:tcPr>
          <w:p w:rsidR="00D1609D" w:rsidRPr="00EF6FF9" w:rsidRDefault="002C481D" w:rsidP="00EF6FF9">
            <w:pPr>
              <w:jc w:val="center"/>
              <w:rPr>
                <w:rFonts w:ascii="Arial" w:hAnsi="Arial" w:cs="Arial"/>
                <w:sz w:val="24"/>
                <w:szCs w:val="24"/>
              </w:rPr>
            </w:pPr>
            <w:r w:rsidRPr="00EF6FF9">
              <w:rPr>
                <w:rFonts w:ascii="Arial" w:hAnsi="Arial" w:cs="Arial"/>
                <w:sz w:val="24"/>
                <w:szCs w:val="24"/>
              </w:rPr>
              <w:t>La tasa de crecimiento de número de mujeres atendidas no es útil para medir la contribución del programa a la disminución de la violencia</w:t>
            </w:r>
          </w:p>
        </w:tc>
        <w:tc>
          <w:tcPr>
            <w:tcW w:w="5812" w:type="dxa"/>
            <w:vAlign w:val="center"/>
          </w:tcPr>
          <w:p w:rsidR="00D1609D" w:rsidRPr="00EF6FF9" w:rsidRDefault="002C481D" w:rsidP="00EF6FF9">
            <w:pPr>
              <w:jc w:val="center"/>
              <w:rPr>
                <w:rFonts w:ascii="Arial" w:hAnsi="Arial" w:cs="Arial"/>
                <w:sz w:val="24"/>
                <w:szCs w:val="24"/>
              </w:rPr>
            </w:pPr>
            <w:r w:rsidRPr="00EF6FF9">
              <w:rPr>
                <w:rFonts w:ascii="Arial" w:hAnsi="Arial" w:cs="Arial"/>
                <w:sz w:val="24"/>
                <w:szCs w:val="24"/>
              </w:rPr>
              <w:t>MIR de 2014 ya no incluye este indicador</w:t>
            </w:r>
          </w:p>
        </w:tc>
        <w:tc>
          <w:tcPr>
            <w:tcW w:w="1979" w:type="dxa"/>
            <w:vAlign w:val="center"/>
          </w:tcPr>
          <w:p w:rsidR="00D1609D" w:rsidRPr="00EF6FF9" w:rsidRDefault="00EF6FF9" w:rsidP="00EF6FF9">
            <w:pPr>
              <w:jc w:val="center"/>
              <w:rPr>
                <w:rFonts w:ascii="Arial" w:hAnsi="Arial" w:cs="Arial"/>
                <w:sz w:val="24"/>
                <w:szCs w:val="24"/>
              </w:rPr>
            </w:pPr>
            <w:r w:rsidRPr="00EF6FF9">
              <w:rPr>
                <w:rFonts w:ascii="Arial" w:hAnsi="Arial" w:cs="Arial"/>
                <w:sz w:val="24"/>
                <w:szCs w:val="24"/>
              </w:rPr>
              <w:t>Evaluación específica de desempeño 2012-2013</w:t>
            </w:r>
          </w:p>
        </w:tc>
        <w:tc>
          <w:tcPr>
            <w:tcW w:w="1643" w:type="dxa"/>
            <w:vAlign w:val="center"/>
          </w:tcPr>
          <w:p w:rsidR="00D1609D" w:rsidRPr="00EF6FF9" w:rsidRDefault="00D1609D" w:rsidP="00EF6FF9">
            <w:pPr>
              <w:jc w:val="center"/>
              <w:rPr>
                <w:rFonts w:ascii="Arial" w:hAnsi="Arial" w:cs="Arial"/>
                <w:sz w:val="24"/>
                <w:szCs w:val="24"/>
              </w:rPr>
            </w:pPr>
          </w:p>
        </w:tc>
      </w:tr>
      <w:tr w:rsidR="00D1609D" w:rsidRPr="00EF6FF9" w:rsidTr="00EF6FF9">
        <w:trPr>
          <w:jc w:val="center"/>
        </w:trPr>
        <w:tc>
          <w:tcPr>
            <w:tcW w:w="4786" w:type="dxa"/>
            <w:vAlign w:val="center"/>
          </w:tcPr>
          <w:p w:rsidR="00D1609D" w:rsidRPr="00EF6FF9" w:rsidRDefault="002C481D" w:rsidP="00EF6FF9">
            <w:pPr>
              <w:jc w:val="center"/>
              <w:rPr>
                <w:rFonts w:ascii="Arial" w:hAnsi="Arial" w:cs="Arial"/>
                <w:sz w:val="24"/>
                <w:szCs w:val="24"/>
              </w:rPr>
            </w:pPr>
            <w:r w:rsidRPr="00EF6FF9">
              <w:rPr>
                <w:rFonts w:ascii="Arial" w:hAnsi="Arial" w:cs="Arial"/>
                <w:sz w:val="24"/>
                <w:szCs w:val="24"/>
              </w:rPr>
              <w:t>Los indicadores de componentes y actividades no son pertinentes para medir resultados</w:t>
            </w:r>
          </w:p>
        </w:tc>
        <w:tc>
          <w:tcPr>
            <w:tcW w:w="5812" w:type="dxa"/>
            <w:vAlign w:val="center"/>
          </w:tcPr>
          <w:p w:rsidR="00D1609D" w:rsidRPr="00EF6FF9" w:rsidRDefault="002C481D" w:rsidP="00EF6FF9">
            <w:pPr>
              <w:jc w:val="center"/>
              <w:rPr>
                <w:rFonts w:ascii="Arial" w:hAnsi="Arial" w:cs="Arial"/>
                <w:sz w:val="24"/>
                <w:szCs w:val="24"/>
              </w:rPr>
            </w:pPr>
            <w:r w:rsidRPr="00EF6FF9">
              <w:rPr>
                <w:rFonts w:ascii="Arial" w:hAnsi="Arial" w:cs="Arial"/>
                <w:sz w:val="24"/>
                <w:szCs w:val="24"/>
              </w:rPr>
              <w:t>Medir resultados no es el objetivo de estos indicadores</w:t>
            </w:r>
          </w:p>
        </w:tc>
        <w:tc>
          <w:tcPr>
            <w:tcW w:w="1979" w:type="dxa"/>
            <w:vAlign w:val="center"/>
          </w:tcPr>
          <w:p w:rsidR="00D1609D" w:rsidRPr="00EF6FF9" w:rsidRDefault="00EF6FF9" w:rsidP="00EF6FF9">
            <w:pPr>
              <w:jc w:val="center"/>
              <w:rPr>
                <w:rFonts w:ascii="Arial" w:hAnsi="Arial" w:cs="Arial"/>
                <w:sz w:val="24"/>
                <w:szCs w:val="24"/>
              </w:rPr>
            </w:pPr>
            <w:r w:rsidRPr="00EF6FF9">
              <w:rPr>
                <w:rFonts w:ascii="Arial" w:hAnsi="Arial" w:cs="Arial"/>
                <w:sz w:val="24"/>
                <w:szCs w:val="24"/>
              </w:rPr>
              <w:t>Evaluación específica de desempeño 2012-2013</w:t>
            </w:r>
          </w:p>
        </w:tc>
        <w:tc>
          <w:tcPr>
            <w:tcW w:w="1643" w:type="dxa"/>
            <w:vAlign w:val="center"/>
          </w:tcPr>
          <w:p w:rsidR="00D1609D" w:rsidRPr="00EF6FF9" w:rsidRDefault="00D1609D" w:rsidP="00EF6FF9">
            <w:pPr>
              <w:jc w:val="center"/>
              <w:rPr>
                <w:rFonts w:ascii="Arial" w:hAnsi="Arial" w:cs="Arial"/>
                <w:sz w:val="24"/>
                <w:szCs w:val="24"/>
              </w:rPr>
            </w:pPr>
          </w:p>
        </w:tc>
      </w:tr>
      <w:tr w:rsidR="00D1609D" w:rsidRPr="00EF6FF9" w:rsidTr="00EF6FF9">
        <w:trPr>
          <w:jc w:val="center"/>
        </w:trPr>
        <w:tc>
          <w:tcPr>
            <w:tcW w:w="4786" w:type="dxa"/>
            <w:vAlign w:val="center"/>
          </w:tcPr>
          <w:p w:rsidR="00D1609D" w:rsidRPr="00EF6FF9" w:rsidRDefault="002C481D" w:rsidP="00EF6FF9">
            <w:pPr>
              <w:jc w:val="center"/>
              <w:rPr>
                <w:rFonts w:ascii="Arial" w:hAnsi="Arial" w:cs="Arial"/>
                <w:sz w:val="24"/>
                <w:szCs w:val="24"/>
              </w:rPr>
            </w:pPr>
            <w:r w:rsidRPr="00EF6FF9">
              <w:rPr>
                <w:rFonts w:ascii="Arial" w:hAnsi="Arial" w:cs="Arial"/>
                <w:sz w:val="24"/>
                <w:szCs w:val="24"/>
              </w:rPr>
              <w:t xml:space="preserve">Papel del PAIMEF en la política de desarrollo </w:t>
            </w:r>
            <w:r w:rsidR="00870E3C" w:rsidRPr="00EF6FF9">
              <w:rPr>
                <w:rFonts w:ascii="Arial" w:hAnsi="Arial" w:cs="Arial"/>
                <w:sz w:val="24"/>
                <w:szCs w:val="24"/>
              </w:rPr>
              <w:t>del SEDESOL</w:t>
            </w:r>
          </w:p>
        </w:tc>
        <w:tc>
          <w:tcPr>
            <w:tcW w:w="5812" w:type="dxa"/>
            <w:vAlign w:val="center"/>
          </w:tcPr>
          <w:p w:rsidR="00D1609D" w:rsidRPr="00EF6FF9" w:rsidRDefault="00870E3C" w:rsidP="00EF6FF9">
            <w:pPr>
              <w:jc w:val="center"/>
              <w:rPr>
                <w:rFonts w:ascii="Arial" w:hAnsi="Arial" w:cs="Arial"/>
                <w:sz w:val="24"/>
                <w:szCs w:val="24"/>
              </w:rPr>
            </w:pPr>
            <w:r w:rsidRPr="00EF6FF9">
              <w:rPr>
                <w:rFonts w:ascii="Arial" w:hAnsi="Arial" w:cs="Arial"/>
                <w:sz w:val="24"/>
                <w:szCs w:val="24"/>
              </w:rPr>
              <w:t>Recomendación no clara en la redacción</w:t>
            </w:r>
          </w:p>
        </w:tc>
        <w:tc>
          <w:tcPr>
            <w:tcW w:w="1979" w:type="dxa"/>
            <w:vAlign w:val="center"/>
          </w:tcPr>
          <w:p w:rsidR="00D1609D" w:rsidRPr="00EF6FF9" w:rsidRDefault="00EF6FF9" w:rsidP="00EF6FF9">
            <w:pPr>
              <w:jc w:val="center"/>
              <w:rPr>
                <w:rFonts w:ascii="Arial" w:hAnsi="Arial" w:cs="Arial"/>
                <w:sz w:val="24"/>
                <w:szCs w:val="24"/>
              </w:rPr>
            </w:pPr>
            <w:r w:rsidRPr="00EF6FF9">
              <w:rPr>
                <w:rFonts w:ascii="Arial" w:hAnsi="Arial" w:cs="Arial"/>
                <w:sz w:val="24"/>
                <w:szCs w:val="24"/>
              </w:rPr>
              <w:t xml:space="preserve">Evaluación específica de desempeño </w:t>
            </w:r>
            <w:r w:rsidRPr="00EF6FF9">
              <w:rPr>
                <w:rFonts w:ascii="Arial" w:hAnsi="Arial" w:cs="Arial"/>
                <w:sz w:val="24"/>
                <w:szCs w:val="24"/>
              </w:rPr>
              <w:lastRenderedPageBreak/>
              <w:t>2012-2013</w:t>
            </w:r>
          </w:p>
        </w:tc>
        <w:tc>
          <w:tcPr>
            <w:tcW w:w="1643" w:type="dxa"/>
            <w:vAlign w:val="center"/>
          </w:tcPr>
          <w:p w:rsidR="00D1609D" w:rsidRPr="00EF6FF9" w:rsidRDefault="00D1609D" w:rsidP="00EF6FF9">
            <w:pPr>
              <w:jc w:val="center"/>
              <w:rPr>
                <w:rFonts w:ascii="Arial" w:hAnsi="Arial" w:cs="Arial"/>
                <w:sz w:val="24"/>
                <w:szCs w:val="24"/>
              </w:rPr>
            </w:pPr>
          </w:p>
        </w:tc>
      </w:tr>
      <w:tr w:rsidR="00870E3C" w:rsidRPr="00EF6FF9" w:rsidTr="00EF6FF9">
        <w:trPr>
          <w:jc w:val="center"/>
        </w:trPr>
        <w:tc>
          <w:tcPr>
            <w:tcW w:w="4786" w:type="dxa"/>
            <w:vAlign w:val="center"/>
          </w:tcPr>
          <w:p w:rsidR="00870E3C" w:rsidRPr="00EF6FF9" w:rsidRDefault="00870E3C" w:rsidP="00EF6FF9">
            <w:pPr>
              <w:jc w:val="center"/>
              <w:rPr>
                <w:rFonts w:ascii="Arial" w:hAnsi="Arial" w:cs="Arial"/>
                <w:sz w:val="24"/>
                <w:szCs w:val="24"/>
              </w:rPr>
            </w:pPr>
            <w:r w:rsidRPr="00EF6FF9">
              <w:rPr>
                <w:rFonts w:ascii="Arial" w:hAnsi="Arial" w:cs="Arial"/>
                <w:sz w:val="24"/>
                <w:szCs w:val="24"/>
              </w:rPr>
              <w:lastRenderedPageBreak/>
              <w:t>Revisar el objetivo a nivel de Fin para atender lo que mandata la LGAMVLV; así se precisaría el contribuir a eliminar la violencia contra las mujeres mediante acciones de prevención, atención, sanción y erradicación.</w:t>
            </w:r>
          </w:p>
        </w:tc>
        <w:tc>
          <w:tcPr>
            <w:tcW w:w="5812" w:type="dxa"/>
            <w:vAlign w:val="center"/>
          </w:tcPr>
          <w:p w:rsidR="00870E3C" w:rsidRPr="00EF6FF9" w:rsidRDefault="00870E3C" w:rsidP="00EF6FF9">
            <w:pPr>
              <w:jc w:val="center"/>
              <w:rPr>
                <w:rFonts w:ascii="Arial" w:hAnsi="Arial" w:cs="Arial"/>
                <w:sz w:val="24"/>
                <w:szCs w:val="24"/>
              </w:rPr>
            </w:pPr>
            <w:r w:rsidRPr="00EF6FF9">
              <w:rPr>
                <w:rFonts w:ascii="Arial" w:hAnsi="Arial" w:cs="Arial"/>
                <w:sz w:val="24"/>
                <w:szCs w:val="24"/>
              </w:rPr>
              <w:t>Considerando que parte del Fin del Programa se desprende de un objetivo sectorial, el PAIMEF no tiene la atribución de sancionar la violencia contra las mujeres y en el resto de las actividades sólo contribuye.</w:t>
            </w:r>
          </w:p>
        </w:tc>
        <w:tc>
          <w:tcPr>
            <w:tcW w:w="1979" w:type="dxa"/>
            <w:vAlign w:val="center"/>
          </w:tcPr>
          <w:p w:rsidR="00870E3C" w:rsidRPr="00EF6FF9" w:rsidRDefault="00870E3C" w:rsidP="00EF6FF9">
            <w:pPr>
              <w:jc w:val="center"/>
              <w:rPr>
                <w:rFonts w:ascii="Arial" w:hAnsi="Arial" w:cs="Arial"/>
                <w:sz w:val="24"/>
                <w:szCs w:val="24"/>
              </w:rPr>
            </w:pPr>
            <w:r w:rsidRPr="00EF6FF9">
              <w:rPr>
                <w:rFonts w:ascii="Arial" w:hAnsi="Arial" w:cs="Arial"/>
                <w:sz w:val="24"/>
                <w:szCs w:val="24"/>
              </w:rPr>
              <w:t>Evaluación de diseño 2015</w:t>
            </w:r>
          </w:p>
        </w:tc>
        <w:tc>
          <w:tcPr>
            <w:tcW w:w="1643" w:type="dxa"/>
            <w:vAlign w:val="center"/>
          </w:tcPr>
          <w:p w:rsidR="00870E3C" w:rsidRPr="00EF6FF9" w:rsidRDefault="00870E3C" w:rsidP="00EF6FF9">
            <w:pPr>
              <w:jc w:val="center"/>
              <w:rPr>
                <w:rFonts w:ascii="Arial" w:hAnsi="Arial" w:cs="Arial"/>
                <w:sz w:val="24"/>
                <w:szCs w:val="24"/>
              </w:rPr>
            </w:pPr>
          </w:p>
        </w:tc>
      </w:tr>
      <w:tr w:rsidR="00870E3C" w:rsidRPr="00EF6FF9" w:rsidTr="00EF6FF9">
        <w:trPr>
          <w:jc w:val="center"/>
        </w:trPr>
        <w:tc>
          <w:tcPr>
            <w:tcW w:w="4786" w:type="dxa"/>
            <w:vAlign w:val="center"/>
          </w:tcPr>
          <w:p w:rsidR="00870E3C" w:rsidRPr="00EF6FF9" w:rsidRDefault="00870E3C" w:rsidP="00EF6FF9">
            <w:pPr>
              <w:jc w:val="center"/>
              <w:rPr>
                <w:rFonts w:ascii="Arial" w:hAnsi="Arial" w:cs="Arial"/>
                <w:sz w:val="24"/>
                <w:szCs w:val="24"/>
              </w:rPr>
            </w:pPr>
            <w:r w:rsidRPr="00EF6FF9">
              <w:rPr>
                <w:rFonts w:ascii="Arial" w:hAnsi="Arial" w:cs="Arial"/>
                <w:sz w:val="24"/>
                <w:szCs w:val="24"/>
              </w:rPr>
              <w:t>Esta encuesta [ENDIREH] es el instrumento más completo en términos de sus categorías de análisis, por lo que se recomienda que el INDESOL apoye la gestión ante las instancias correspondientes para dar certidumbre jurídica a sus levantamientos; esto permitiría disponer de información periódica y, además, acreditar el plazo para su actualización.</w:t>
            </w:r>
          </w:p>
        </w:tc>
        <w:tc>
          <w:tcPr>
            <w:tcW w:w="5812" w:type="dxa"/>
            <w:vAlign w:val="center"/>
          </w:tcPr>
          <w:p w:rsidR="00870E3C" w:rsidRPr="00EF6FF9" w:rsidRDefault="00870E3C" w:rsidP="00EF6FF9">
            <w:pPr>
              <w:jc w:val="center"/>
              <w:rPr>
                <w:rFonts w:ascii="Arial" w:hAnsi="Arial" w:cs="Arial"/>
                <w:sz w:val="24"/>
                <w:szCs w:val="24"/>
              </w:rPr>
            </w:pPr>
            <w:r w:rsidRPr="00EF6FF9">
              <w:rPr>
                <w:rFonts w:ascii="Arial" w:hAnsi="Arial" w:cs="Arial"/>
                <w:sz w:val="24"/>
                <w:szCs w:val="24"/>
              </w:rPr>
              <w:t>Al ser la ENDIREH una encuesta nacional, no es posible garantizar la certidumbre toda vez que requiere recursos presupuestales asignados, aspecto que no puede garantizar el PAIMEF, y que por lo tanto no es factible.</w:t>
            </w:r>
          </w:p>
        </w:tc>
        <w:tc>
          <w:tcPr>
            <w:tcW w:w="1979" w:type="dxa"/>
            <w:vAlign w:val="center"/>
          </w:tcPr>
          <w:p w:rsidR="00870E3C" w:rsidRPr="00EF6FF9" w:rsidRDefault="00EF6FF9" w:rsidP="00EF6FF9">
            <w:pPr>
              <w:jc w:val="center"/>
              <w:rPr>
                <w:rFonts w:ascii="Arial" w:hAnsi="Arial" w:cs="Arial"/>
                <w:sz w:val="24"/>
                <w:szCs w:val="24"/>
              </w:rPr>
            </w:pPr>
            <w:r w:rsidRPr="00EF6FF9">
              <w:rPr>
                <w:rFonts w:ascii="Arial" w:hAnsi="Arial" w:cs="Arial"/>
                <w:sz w:val="24"/>
                <w:szCs w:val="24"/>
              </w:rPr>
              <w:t>Evaluación de diseño 2015</w:t>
            </w:r>
          </w:p>
        </w:tc>
        <w:tc>
          <w:tcPr>
            <w:tcW w:w="1643" w:type="dxa"/>
            <w:vAlign w:val="center"/>
          </w:tcPr>
          <w:p w:rsidR="00870E3C" w:rsidRPr="00EF6FF9" w:rsidRDefault="00870E3C" w:rsidP="00EF6FF9">
            <w:pPr>
              <w:jc w:val="center"/>
              <w:rPr>
                <w:rFonts w:ascii="Arial" w:hAnsi="Arial" w:cs="Arial"/>
                <w:sz w:val="24"/>
                <w:szCs w:val="24"/>
              </w:rPr>
            </w:pPr>
          </w:p>
        </w:tc>
      </w:tr>
      <w:tr w:rsidR="00870E3C" w:rsidRPr="00EF6FF9" w:rsidTr="00EF6FF9">
        <w:trPr>
          <w:jc w:val="center"/>
        </w:trPr>
        <w:tc>
          <w:tcPr>
            <w:tcW w:w="4786" w:type="dxa"/>
            <w:vAlign w:val="center"/>
          </w:tcPr>
          <w:p w:rsidR="00870E3C" w:rsidRPr="00EF6FF9" w:rsidRDefault="00870E3C" w:rsidP="00EF6FF9">
            <w:pPr>
              <w:jc w:val="center"/>
              <w:rPr>
                <w:rFonts w:ascii="Arial" w:hAnsi="Arial" w:cs="Arial"/>
                <w:sz w:val="24"/>
                <w:szCs w:val="24"/>
              </w:rPr>
            </w:pPr>
            <w:r w:rsidRPr="00EF6FF9">
              <w:rPr>
                <w:rFonts w:ascii="Arial" w:hAnsi="Arial" w:cs="Arial"/>
                <w:sz w:val="24"/>
                <w:szCs w:val="24"/>
              </w:rPr>
              <w:t>Se recomienda analizar y, en su caso, justificar la incorporación o no de los agresores como parte de los grupos de población con los que el Programa podría trabajar en prevención y atención.</w:t>
            </w:r>
          </w:p>
        </w:tc>
        <w:tc>
          <w:tcPr>
            <w:tcW w:w="5812" w:type="dxa"/>
            <w:vAlign w:val="center"/>
          </w:tcPr>
          <w:p w:rsidR="00870E3C" w:rsidRPr="00EF6FF9" w:rsidRDefault="00870E3C" w:rsidP="00EF6FF9">
            <w:pPr>
              <w:jc w:val="center"/>
              <w:rPr>
                <w:rFonts w:ascii="Arial" w:hAnsi="Arial" w:cs="Arial"/>
                <w:sz w:val="24"/>
                <w:szCs w:val="24"/>
              </w:rPr>
            </w:pPr>
            <w:r w:rsidRPr="00EF6FF9">
              <w:rPr>
                <w:rFonts w:ascii="Arial" w:hAnsi="Arial" w:cs="Arial"/>
                <w:sz w:val="24"/>
                <w:szCs w:val="24"/>
              </w:rPr>
              <w:t xml:space="preserve">El objetivo del PAIMEF es contribuir a la disminución de la violencia contra las mujeres mediante acciones de prevención y atención. Las mujeres que atiende el PAIMEF son aquellas  que acuden por ayuda a una unidad apoyada. Es a ello a lo que los recursos del programa se destinan en lo concerniente a atención. Para la atención a generadores de violencia (mujeres, hombres, instituciones o comunidades) pudieran existir otras instancias. Por otro lado, una población específica fundamental a la que se dirige el PAIMEF en lo relativo a prevención son los hombres, particularmente los jóvenes; no como "agresores" </w:t>
            </w:r>
            <w:r w:rsidRPr="00EF6FF9">
              <w:rPr>
                <w:rFonts w:ascii="Arial" w:hAnsi="Arial" w:cs="Arial"/>
                <w:sz w:val="24"/>
                <w:szCs w:val="24"/>
              </w:rPr>
              <w:lastRenderedPageBreak/>
              <w:t>(no es el término que se usa en el contexto de este programa), sino como posibles aliados (tal como se propone desde la visión de Naciones Unidas).</w:t>
            </w:r>
          </w:p>
        </w:tc>
        <w:tc>
          <w:tcPr>
            <w:tcW w:w="1979" w:type="dxa"/>
            <w:vAlign w:val="center"/>
          </w:tcPr>
          <w:p w:rsidR="00870E3C" w:rsidRPr="00EF6FF9" w:rsidRDefault="00EF6FF9" w:rsidP="00EF6FF9">
            <w:pPr>
              <w:jc w:val="center"/>
              <w:rPr>
                <w:rFonts w:ascii="Arial" w:hAnsi="Arial" w:cs="Arial"/>
                <w:sz w:val="24"/>
                <w:szCs w:val="24"/>
              </w:rPr>
            </w:pPr>
            <w:r w:rsidRPr="00EF6FF9">
              <w:rPr>
                <w:rFonts w:ascii="Arial" w:hAnsi="Arial" w:cs="Arial"/>
                <w:sz w:val="24"/>
                <w:szCs w:val="24"/>
              </w:rPr>
              <w:lastRenderedPageBreak/>
              <w:t>Evaluación de diseño 2015</w:t>
            </w:r>
          </w:p>
        </w:tc>
        <w:tc>
          <w:tcPr>
            <w:tcW w:w="1643" w:type="dxa"/>
            <w:vAlign w:val="center"/>
          </w:tcPr>
          <w:p w:rsidR="00870E3C" w:rsidRPr="00EF6FF9" w:rsidRDefault="00870E3C" w:rsidP="00EF6FF9">
            <w:pPr>
              <w:jc w:val="center"/>
              <w:rPr>
                <w:rFonts w:ascii="Arial" w:hAnsi="Arial" w:cs="Arial"/>
                <w:sz w:val="24"/>
                <w:szCs w:val="24"/>
              </w:rPr>
            </w:pPr>
          </w:p>
        </w:tc>
      </w:tr>
      <w:tr w:rsidR="00870E3C" w:rsidRPr="00EF6FF9" w:rsidTr="00EF6FF9">
        <w:trPr>
          <w:jc w:val="center"/>
        </w:trPr>
        <w:tc>
          <w:tcPr>
            <w:tcW w:w="4786" w:type="dxa"/>
            <w:vAlign w:val="center"/>
          </w:tcPr>
          <w:p w:rsidR="00870E3C" w:rsidRPr="00EF6FF9" w:rsidRDefault="00870E3C" w:rsidP="00EF6FF9">
            <w:pPr>
              <w:jc w:val="center"/>
              <w:rPr>
                <w:rFonts w:ascii="Arial" w:hAnsi="Arial" w:cs="Arial"/>
                <w:sz w:val="24"/>
                <w:szCs w:val="24"/>
              </w:rPr>
            </w:pPr>
            <w:r w:rsidRPr="00EF6FF9">
              <w:rPr>
                <w:rFonts w:ascii="Arial" w:hAnsi="Arial" w:cs="Arial"/>
                <w:sz w:val="24"/>
                <w:szCs w:val="24"/>
              </w:rPr>
              <w:lastRenderedPageBreak/>
              <w:t>Se observa que el Programa enfatiza la atención especializada. Se recomienda analizar la pertinencia de incluir indicadores que midan a la parte agresora y reforzar el modelo preventivo; no hay indicadores que aborden su incidencia efectiva en estas cuestiones.</w:t>
            </w:r>
          </w:p>
        </w:tc>
        <w:tc>
          <w:tcPr>
            <w:tcW w:w="5812" w:type="dxa"/>
            <w:vAlign w:val="center"/>
          </w:tcPr>
          <w:p w:rsidR="00870E3C" w:rsidRPr="00EF6FF9" w:rsidRDefault="00870E3C" w:rsidP="00EF6FF9">
            <w:pPr>
              <w:jc w:val="center"/>
              <w:rPr>
                <w:rFonts w:ascii="Arial" w:hAnsi="Arial" w:cs="Arial"/>
                <w:sz w:val="24"/>
                <w:szCs w:val="24"/>
              </w:rPr>
            </w:pPr>
            <w:r w:rsidRPr="00EF6FF9">
              <w:rPr>
                <w:rFonts w:ascii="Arial" w:hAnsi="Arial" w:cs="Arial"/>
                <w:sz w:val="24"/>
                <w:szCs w:val="24"/>
              </w:rPr>
              <w:t>El PAIMEF, en sus vertientes de prevención, pretende contribuir a la construcción de una cultura libre de violencia, en la que inciden múltiples factores y actores. Es de esperar que, en ese contexto, se disminuya el número de generadores de violencia; sin embargo, este programa no es la instancia idónea para generar un indicador al respecto. Además, cuantificar a los agentes agresores como parte de los grupos de población a los que atiende el programa es sumamente complejo, toda vez que no es posible identificarlos ex ante.</w:t>
            </w:r>
          </w:p>
        </w:tc>
        <w:tc>
          <w:tcPr>
            <w:tcW w:w="1979" w:type="dxa"/>
            <w:vAlign w:val="center"/>
          </w:tcPr>
          <w:p w:rsidR="00870E3C" w:rsidRPr="00EF6FF9" w:rsidRDefault="00EF6FF9" w:rsidP="00EF6FF9">
            <w:pPr>
              <w:jc w:val="center"/>
              <w:rPr>
                <w:rFonts w:ascii="Arial" w:hAnsi="Arial" w:cs="Arial"/>
                <w:sz w:val="24"/>
                <w:szCs w:val="24"/>
              </w:rPr>
            </w:pPr>
            <w:r w:rsidRPr="00EF6FF9">
              <w:rPr>
                <w:rFonts w:ascii="Arial" w:hAnsi="Arial" w:cs="Arial"/>
                <w:sz w:val="24"/>
                <w:szCs w:val="24"/>
              </w:rPr>
              <w:t>Evaluación de diseño 2015</w:t>
            </w:r>
          </w:p>
        </w:tc>
        <w:tc>
          <w:tcPr>
            <w:tcW w:w="1643" w:type="dxa"/>
            <w:vAlign w:val="center"/>
          </w:tcPr>
          <w:p w:rsidR="00870E3C" w:rsidRPr="00EF6FF9" w:rsidRDefault="00870E3C" w:rsidP="00EF6FF9">
            <w:pPr>
              <w:jc w:val="center"/>
              <w:rPr>
                <w:rFonts w:ascii="Arial" w:hAnsi="Arial" w:cs="Arial"/>
                <w:sz w:val="24"/>
                <w:szCs w:val="24"/>
              </w:rPr>
            </w:pPr>
          </w:p>
        </w:tc>
      </w:tr>
      <w:tr w:rsidR="00870E3C" w:rsidRPr="00EF6FF9" w:rsidTr="00EF6FF9">
        <w:trPr>
          <w:jc w:val="center"/>
        </w:trPr>
        <w:tc>
          <w:tcPr>
            <w:tcW w:w="4786" w:type="dxa"/>
            <w:vAlign w:val="center"/>
          </w:tcPr>
          <w:p w:rsidR="00870E3C" w:rsidRPr="00EF6FF9" w:rsidRDefault="00870E3C" w:rsidP="00EF6FF9">
            <w:pPr>
              <w:jc w:val="center"/>
              <w:rPr>
                <w:rFonts w:ascii="Arial" w:hAnsi="Arial" w:cs="Arial"/>
                <w:sz w:val="24"/>
                <w:szCs w:val="24"/>
              </w:rPr>
            </w:pPr>
            <w:r w:rsidRPr="00EF6FF9">
              <w:rPr>
                <w:rFonts w:ascii="Arial" w:hAnsi="Arial" w:cs="Arial"/>
                <w:sz w:val="24"/>
                <w:szCs w:val="24"/>
              </w:rPr>
              <w:t xml:space="preserve">El Diagnóstico (pags.16-17) y las ROP mencionan los instrumentos jurídicos en materia de derechos humanos nacionales e internacionales a los que el Estado mexicano está obligado a dar cumplimiento, a través de políticas públicas similares a la responsabilidad de este Programa. De dichos instrumentos se derivan también las recomendaciones internacionales formuladas a México sobre el tema, principalmente las que emitió la CEDAW recientemente (CEDAW/C/MEX/CO/7-8), las del Comité de Expertas de Belem do Pará (MESECVI-IV/doc.83/12) y las sentencias </w:t>
            </w:r>
            <w:r w:rsidRPr="00EF6FF9">
              <w:rPr>
                <w:rFonts w:ascii="Arial" w:hAnsi="Arial" w:cs="Arial"/>
                <w:sz w:val="24"/>
                <w:szCs w:val="24"/>
              </w:rPr>
              <w:lastRenderedPageBreak/>
              <w:t>de la Corte Interamericana de Derechos Humanos, principalmente Campo Algodonero. Se sugiere incluir en el Diagnóstico, un apartado que muestre de qué manera específica el Programa contribuye en el ámbito de su actuación a la atención de estas recomendaciones.</w:t>
            </w:r>
          </w:p>
        </w:tc>
        <w:tc>
          <w:tcPr>
            <w:tcW w:w="5812" w:type="dxa"/>
            <w:vAlign w:val="center"/>
          </w:tcPr>
          <w:p w:rsidR="00870E3C" w:rsidRPr="00EF6FF9" w:rsidRDefault="00870E3C" w:rsidP="00EF6FF9">
            <w:pPr>
              <w:jc w:val="center"/>
              <w:rPr>
                <w:rFonts w:ascii="Arial" w:hAnsi="Arial" w:cs="Arial"/>
                <w:sz w:val="24"/>
                <w:szCs w:val="24"/>
              </w:rPr>
            </w:pPr>
            <w:r w:rsidRPr="00EF6FF9">
              <w:rPr>
                <w:rFonts w:ascii="Arial" w:hAnsi="Arial" w:cs="Arial"/>
                <w:sz w:val="24"/>
                <w:szCs w:val="24"/>
              </w:rPr>
              <w:lastRenderedPageBreak/>
              <w:t>Esta recomendación no es relevante, ya que la atención a las recomendaciones nacionales e internacionales en materia de Derechos Humanos no compete en primera instancia al PAIMEF; sino al conjunto de Instituciones que conforman y participan en esta Política Pública, cuyos acuerdos y asignación de responsabilidades se realiza mediante procesos establecidos.</w:t>
            </w:r>
          </w:p>
        </w:tc>
        <w:tc>
          <w:tcPr>
            <w:tcW w:w="1979" w:type="dxa"/>
            <w:vAlign w:val="center"/>
          </w:tcPr>
          <w:p w:rsidR="00870E3C" w:rsidRPr="00EF6FF9" w:rsidRDefault="00EF6FF9" w:rsidP="00EF6FF9">
            <w:pPr>
              <w:jc w:val="center"/>
              <w:rPr>
                <w:rFonts w:ascii="Arial" w:hAnsi="Arial" w:cs="Arial"/>
                <w:sz w:val="24"/>
                <w:szCs w:val="24"/>
              </w:rPr>
            </w:pPr>
            <w:r w:rsidRPr="00EF6FF9">
              <w:rPr>
                <w:rFonts w:ascii="Arial" w:hAnsi="Arial" w:cs="Arial"/>
                <w:sz w:val="24"/>
                <w:szCs w:val="24"/>
              </w:rPr>
              <w:t>Evaluación de diseño 2015</w:t>
            </w:r>
          </w:p>
        </w:tc>
        <w:tc>
          <w:tcPr>
            <w:tcW w:w="1643" w:type="dxa"/>
            <w:vAlign w:val="center"/>
          </w:tcPr>
          <w:p w:rsidR="00870E3C" w:rsidRPr="00EF6FF9" w:rsidRDefault="00870E3C" w:rsidP="00EF6FF9">
            <w:pPr>
              <w:jc w:val="center"/>
              <w:rPr>
                <w:rFonts w:ascii="Arial" w:hAnsi="Arial" w:cs="Arial"/>
                <w:sz w:val="24"/>
                <w:szCs w:val="24"/>
              </w:rPr>
            </w:pPr>
          </w:p>
        </w:tc>
      </w:tr>
      <w:tr w:rsidR="00870E3C" w:rsidRPr="00EF6FF9" w:rsidTr="00EF6FF9">
        <w:trPr>
          <w:jc w:val="center"/>
        </w:trPr>
        <w:tc>
          <w:tcPr>
            <w:tcW w:w="4786" w:type="dxa"/>
            <w:vAlign w:val="center"/>
          </w:tcPr>
          <w:p w:rsidR="00870E3C" w:rsidRPr="00EF6FF9" w:rsidRDefault="00870E3C" w:rsidP="00EF6FF9">
            <w:pPr>
              <w:jc w:val="center"/>
              <w:rPr>
                <w:rFonts w:ascii="Arial" w:hAnsi="Arial" w:cs="Arial"/>
                <w:sz w:val="24"/>
                <w:szCs w:val="24"/>
              </w:rPr>
            </w:pPr>
            <w:r w:rsidRPr="00EF6FF9">
              <w:rPr>
                <w:rFonts w:ascii="Arial" w:hAnsi="Arial" w:cs="Arial"/>
                <w:sz w:val="24"/>
                <w:szCs w:val="24"/>
              </w:rPr>
              <w:lastRenderedPageBreak/>
              <w:t>Se sugiere revisar el glosario para que corresponda con este documento ya que se describen términos que no se utilizan en lo que resta del análisis como es el de “alerta de género”. Se recomienda corregir el término "Equidad de Género" por el de "Igualdad de Género". Se propone precisar en todo caso, el término de "mujeres en situación de vulnerabilidad de violencia" tal como lo acepta la Convención Belem do Pará (artículo 9); las mujeres no son un grupo vulnerable.</w:t>
            </w:r>
          </w:p>
        </w:tc>
        <w:tc>
          <w:tcPr>
            <w:tcW w:w="5812" w:type="dxa"/>
            <w:vAlign w:val="center"/>
          </w:tcPr>
          <w:p w:rsidR="00870E3C" w:rsidRPr="00EF6FF9" w:rsidRDefault="00870E3C" w:rsidP="00EF6FF9">
            <w:pPr>
              <w:jc w:val="center"/>
              <w:rPr>
                <w:rFonts w:ascii="Arial" w:hAnsi="Arial" w:cs="Arial"/>
                <w:sz w:val="24"/>
                <w:szCs w:val="24"/>
              </w:rPr>
            </w:pPr>
            <w:r w:rsidRPr="00EF6FF9">
              <w:rPr>
                <w:rFonts w:ascii="Arial" w:hAnsi="Arial" w:cs="Arial"/>
                <w:sz w:val="24"/>
                <w:szCs w:val="24"/>
              </w:rPr>
              <w:t>Esta recomendación no cumple con el criterio de relevancia ni con el de justificación, toda vez que no representa un cambio significativo para el programa.</w:t>
            </w:r>
          </w:p>
        </w:tc>
        <w:tc>
          <w:tcPr>
            <w:tcW w:w="1979" w:type="dxa"/>
            <w:vAlign w:val="center"/>
          </w:tcPr>
          <w:p w:rsidR="00870E3C" w:rsidRPr="00EF6FF9" w:rsidRDefault="00EF6FF9" w:rsidP="00EF6FF9">
            <w:pPr>
              <w:jc w:val="center"/>
              <w:rPr>
                <w:rFonts w:ascii="Arial" w:hAnsi="Arial" w:cs="Arial"/>
                <w:sz w:val="24"/>
                <w:szCs w:val="24"/>
              </w:rPr>
            </w:pPr>
            <w:r w:rsidRPr="00EF6FF9">
              <w:rPr>
                <w:rFonts w:ascii="Arial" w:hAnsi="Arial" w:cs="Arial"/>
                <w:sz w:val="24"/>
                <w:szCs w:val="24"/>
              </w:rPr>
              <w:t>Evaluación de diseño 2015</w:t>
            </w:r>
          </w:p>
        </w:tc>
        <w:tc>
          <w:tcPr>
            <w:tcW w:w="1643" w:type="dxa"/>
            <w:vAlign w:val="center"/>
          </w:tcPr>
          <w:p w:rsidR="00870E3C" w:rsidRPr="00EF6FF9" w:rsidRDefault="00870E3C" w:rsidP="00EF6FF9">
            <w:pPr>
              <w:jc w:val="center"/>
              <w:rPr>
                <w:rFonts w:ascii="Arial" w:hAnsi="Arial" w:cs="Arial"/>
                <w:sz w:val="24"/>
                <w:szCs w:val="24"/>
              </w:rPr>
            </w:pPr>
          </w:p>
        </w:tc>
      </w:tr>
      <w:tr w:rsidR="00870E3C" w:rsidRPr="00EF6FF9" w:rsidTr="00EF6FF9">
        <w:trPr>
          <w:jc w:val="center"/>
        </w:trPr>
        <w:tc>
          <w:tcPr>
            <w:tcW w:w="4786" w:type="dxa"/>
            <w:vAlign w:val="center"/>
          </w:tcPr>
          <w:p w:rsidR="00870E3C" w:rsidRPr="00EF6FF9" w:rsidRDefault="00870E3C" w:rsidP="00EF6FF9">
            <w:pPr>
              <w:jc w:val="center"/>
              <w:rPr>
                <w:rFonts w:ascii="Arial" w:hAnsi="Arial" w:cs="Arial"/>
                <w:sz w:val="24"/>
                <w:szCs w:val="24"/>
              </w:rPr>
            </w:pPr>
            <w:r w:rsidRPr="00EF6FF9">
              <w:rPr>
                <w:rFonts w:ascii="Arial" w:hAnsi="Arial" w:cs="Arial"/>
                <w:sz w:val="24"/>
                <w:szCs w:val="24"/>
              </w:rPr>
              <w:t>Sin desconocer que esta estrategia rebasa al PAIMEF, se recomienda valorar la importancia de ampliar dicha posibilidad, a partir de las oportunidades que dicha normatividad (Circular) permite para una alineación con objetivos transversales.</w:t>
            </w:r>
          </w:p>
        </w:tc>
        <w:tc>
          <w:tcPr>
            <w:tcW w:w="5812" w:type="dxa"/>
            <w:vAlign w:val="center"/>
          </w:tcPr>
          <w:p w:rsidR="00870E3C" w:rsidRPr="00EF6FF9" w:rsidRDefault="00870E3C" w:rsidP="00EF6FF9">
            <w:pPr>
              <w:jc w:val="center"/>
              <w:rPr>
                <w:rFonts w:ascii="Arial" w:hAnsi="Arial" w:cs="Arial"/>
                <w:sz w:val="24"/>
                <w:szCs w:val="24"/>
              </w:rPr>
            </w:pPr>
            <w:r w:rsidRPr="00EF6FF9">
              <w:rPr>
                <w:rFonts w:ascii="Arial" w:hAnsi="Arial" w:cs="Arial"/>
                <w:sz w:val="24"/>
                <w:szCs w:val="24"/>
              </w:rPr>
              <w:t xml:space="preserve">Esta recomendación no cumple con los criterios de relevancia, justificación ni factibilidad, toda vez que el numeral 17 de los "Criterios para el registro, revisión y actualización de la Matriz de Indicadores para Resultados e Indicadores del Desempeño de los programas presupuestarios para el Ejercicio Fiscal 2016" establece que los programas deberán incluir los objetivos sectoriales en el nivel de Fin de la MIR y que en caso de que un Programa no pueda alinearse a un objetivo sectorial, se podrá incluir un objetivo transversal; no obstante, el PAIMEF si se </w:t>
            </w:r>
            <w:r w:rsidRPr="00EF6FF9">
              <w:rPr>
                <w:rFonts w:ascii="Arial" w:hAnsi="Arial" w:cs="Arial"/>
                <w:sz w:val="24"/>
                <w:szCs w:val="24"/>
              </w:rPr>
              <w:lastRenderedPageBreak/>
              <w:t>alinea con el Objetivo Sectorial 4, por lo que no procedería buscar una alineación con un objetivo transversal.</w:t>
            </w:r>
          </w:p>
        </w:tc>
        <w:tc>
          <w:tcPr>
            <w:tcW w:w="1979" w:type="dxa"/>
            <w:vAlign w:val="center"/>
          </w:tcPr>
          <w:p w:rsidR="00870E3C" w:rsidRPr="00EF6FF9" w:rsidRDefault="00EF6FF9" w:rsidP="00EF6FF9">
            <w:pPr>
              <w:jc w:val="center"/>
              <w:rPr>
                <w:rFonts w:ascii="Arial" w:hAnsi="Arial" w:cs="Arial"/>
                <w:sz w:val="24"/>
                <w:szCs w:val="24"/>
              </w:rPr>
            </w:pPr>
            <w:r w:rsidRPr="00EF6FF9">
              <w:rPr>
                <w:rFonts w:ascii="Arial" w:hAnsi="Arial" w:cs="Arial"/>
                <w:sz w:val="24"/>
                <w:szCs w:val="24"/>
              </w:rPr>
              <w:lastRenderedPageBreak/>
              <w:t>Evaluación de diseño 2015</w:t>
            </w:r>
          </w:p>
        </w:tc>
        <w:tc>
          <w:tcPr>
            <w:tcW w:w="1643" w:type="dxa"/>
            <w:vAlign w:val="center"/>
          </w:tcPr>
          <w:p w:rsidR="00870E3C" w:rsidRPr="00EF6FF9" w:rsidRDefault="00870E3C" w:rsidP="00EF6FF9">
            <w:pPr>
              <w:jc w:val="center"/>
              <w:rPr>
                <w:rFonts w:ascii="Arial" w:hAnsi="Arial" w:cs="Arial"/>
                <w:sz w:val="24"/>
                <w:szCs w:val="24"/>
              </w:rPr>
            </w:pPr>
          </w:p>
        </w:tc>
      </w:tr>
      <w:tr w:rsidR="00870E3C" w:rsidRPr="00EF6FF9" w:rsidTr="00EF6FF9">
        <w:trPr>
          <w:jc w:val="center"/>
        </w:trPr>
        <w:tc>
          <w:tcPr>
            <w:tcW w:w="4786" w:type="dxa"/>
            <w:vAlign w:val="center"/>
          </w:tcPr>
          <w:p w:rsidR="00870E3C" w:rsidRPr="00EF6FF9" w:rsidRDefault="00870E3C" w:rsidP="00EF6FF9">
            <w:pPr>
              <w:jc w:val="center"/>
              <w:rPr>
                <w:rFonts w:ascii="Arial" w:hAnsi="Arial" w:cs="Arial"/>
                <w:sz w:val="24"/>
                <w:szCs w:val="24"/>
              </w:rPr>
            </w:pPr>
            <w:r w:rsidRPr="00EF6FF9">
              <w:rPr>
                <w:rFonts w:ascii="Arial" w:hAnsi="Arial" w:cs="Arial"/>
                <w:sz w:val="24"/>
                <w:szCs w:val="24"/>
              </w:rPr>
              <w:lastRenderedPageBreak/>
              <w:t>(pág. 14) Una recomendación es sistematizar las características de las IMEF y que se constituya en una fuente única de la demanda total de apoyos. Para la caracterización de las IMEF se sugiere la identificada en el Cuaderno de Trabajo No. 18 de INMUJERES/INSP, Estrategias implementadas por las IMEF para prevenir, atender, sancionar y erradicar la violencia contra las mujeres.</w:t>
            </w:r>
          </w:p>
          <w:p w:rsidR="00870E3C" w:rsidRPr="00EF6FF9" w:rsidRDefault="00870E3C" w:rsidP="00EF6FF9">
            <w:pPr>
              <w:jc w:val="center"/>
              <w:rPr>
                <w:rFonts w:ascii="Arial" w:hAnsi="Arial" w:cs="Arial"/>
                <w:sz w:val="24"/>
                <w:szCs w:val="24"/>
              </w:rPr>
            </w:pPr>
          </w:p>
          <w:p w:rsidR="00870E3C" w:rsidRPr="00EF6FF9" w:rsidRDefault="00870E3C" w:rsidP="00EF6FF9">
            <w:pPr>
              <w:jc w:val="center"/>
              <w:rPr>
                <w:rFonts w:ascii="Arial" w:hAnsi="Arial" w:cs="Arial"/>
                <w:sz w:val="24"/>
                <w:szCs w:val="24"/>
              </w:rPr>
            </w:pPr>
            <w:r w:rsidRPr="00EF6FF9">
              <w:rPr>
                <w:rFonts w:ascii="Arial" w:hAnsi="Arial" w:cs="Arial"/>
                <w:sz w:val="24"/>
                <w:szCs w:val="24"/>
              </w:rPr>
              <w:t xml:space="preserve">(pág. 23) Se recomienda reforzar la tarea de coordinación interinstitucional de las IMEF, principalmente a través de los convenios de coordinación como instrumento fundamental y para ello debe profundizarse en la caracterización de las IMEF en el análisis, así como de los mismos sistemas estatales, para configurar una estrategia diferenciada que contribuya a incidir en la </w:t>
            </w:r>
            <w:proofErr w:type="spellStart"/>
            <w:r w:rsidRPr="00EF6FF9">
              <w:rPr>
                <w:rFonts w:ascii="Arial" w:hAnsi="Arial" w:cs="Arial"/>
                <w:sz w:val="24"/>
                <w:szCs w:val="24"/>
              </w:rPr>
              <w:t>transversalización</w:t>
            </w:r>
            <w:proofErr w:type="spellEnd"/>
            <w:r w:rsidRPr="00EF6FF9">
              <w:rPr>
                <w:rFonts w:ascii="Arial" w:hAnsi="Arial" w:cs="Arial"/>
                <w:sz w:val="24"/>
                <w:szCs w:val="24"/>
              </w:rPr>
              <w:t xml:space="preserve"> de la perspectiva de género (respuesta 8). Estos planteamientos deberían reflejarse en los supuestos.</w:t>
            </w:r>
          </w:p>
        </w:tc>
        <w:tc>
          <w:tcPr>
            <w:tcW w:w="5812" w:type="dxa"/>
            <w:vAlign w:val="center"/>
          </w:tcPr>
          <w:p w:rsidR="00870E3C" w:rsidRPr="00EF6FF9" w:rsidRDefault="00870E3C" w:rsidP="00EF6FF9">
            <w:pPr>
              <w:jc w:val="center"/>
              <w:rPr>
                <w:rFonts w:ascii="Arial" w:hAnsi="Arial" w:cs="Arial"/>
                <w:sz w:val="24"/>
                <w:szCs w:val="24"/>
              </w:rPr>
            </w:pPr>
            <w:r w:rsidRPr="00EF6FF9">
              <w:rPr>
                <w:rFonts w:ascii="Arial" w:hAnsi="Arial" w:cs="Arial"/>
                <w:sz w:val="24"/>
                <w:szCs w:val="24"/>
              </w:rPr>
              <w:t>Esta recomendación no cumple con los criterios de claridad, justificación ni de factibilidad, ya que no se entiende cuál es exactamente el cambio que propone el evaluador en la identificación de características de las IMEF y no se identifica con precisión cuál es la debilidad del programa en esta materia. Por tal motivo, esta recomendación no se clasifica como un nuevo ASM.</w:t>
            </w:r>
          </w:p>
        </w:tc>
        <w:tc>
          <w:tcPr>
            <w:tcW w:w="1979" w:type="dxa"/>
            <w:vAlign w:val="center"/>
          </w:tcPr>
          <w:p w:rsidR="00870E3C" w:rsidRPr="00EF6FF9" w:rsidRDefault="00EF6FF9" w:rsidP="00EF6FF9">
            <w:pPr>
              <w:jc w:val="center"/>
              <w:rPr>
                <w:rFonts w:ascii="Arial" w:hAnsi="Arial" w:cs="Arial"/>
                <w:sz w:val="24"/>
                <w:szCs w:val="24"/>
              </w:rPr>
            </w:pPr>
            <w:r w:rsidRPr="00EF6FF9">
              <w:rPr>
                <w:rFonts w:ascii="Arial" w:hAnsi="Arial" w:cs="Arial"/>
                <w:sz w:val="24"/>
                <w:szCs w:val="24"/>
              </w:rPr>
              <w:t>Evaluación de diseño 2015</w:t>
            </w:r>
          </w:p>
        </w:tc>
        <w:tc>
          <w:tcPr>
            <w:tcW w:w="1643" w:type="dxa"/>
            <w:vAlign w:val="center"/>
          </w:tcPr>
          <w:p w:rsidR="00870E3C" w:rsidRPr="00EF6FF9" w:rsidRDefault="00870E3C" w:rsidP="00EF6FF9">
            <w:pPr>
              <w:jc w:val="center"/>
              <w:rPr>
                <w:rFonts w:ascii="Arial" w:hAnsi="Arial" w:cs="Arial"/>
                <w:sz w:val="24"/>
                <w:szCs w:val="24"/>
              </w:rPr>
            </w:pPr>
          </w:p>
        </w:tc>
      </w:tr>
      <w:tr w:rsidR="00870E3C" w:rsidRPr="00EF6FF9" w:rsidTr="00EF6FF9">
        <w:trPr>
          <w:jc w:val="center"/>
        </w:trPr>
        <w:tc>
          <w:tcPr>
            <w:tcW w:w="4786" w:type="dxa"/>
            <w:vAlign w:val="center"/>
          </w:tcPr>
          <w:p w:rsidR="00870E3C" w:rsidRPr="00EF6FF9" w:rsidRDefault="00870E3C" w:rsidP="00EF6FF9">
            <w:pPr>
              <w:jc w:val="center"/>
              <w:rPr>
                <w:rFonts w:ascii="Arial" w:hAnsi="Arial" w:cs="Arial"/>
                <w:sz w:val="24"/>
                <w:szCs w:val="24"/>
              </w:rPr>
            </w:pPr>
            <w:r w:rsidRPr="00EF6FF9">
              <w:rPr>
                <w:rFonts w:ascii="Arial" w:hAnsi="Arial" w:cs="Arial"/>
                <w:sz w:val="24"/>
                <w:szCs w:val="24"/>
              </w:rPr>
              <w:t xml:space="preserve">En las ROP 2015, se establece un mecanismo operativo pertinente para la </w:t>
            </w:r>
            <w:r w:rsidRPr="00EF6FF9">
              <w:rPr>
                <w:rFonts w:ascii="Arial" w:hAnsi="Arial" w:cs="Arial"/>
                <w:sz w:val="24"/>
                <w:szCs w:val="24"/>
              </w:rPr>
              <w:lastRenderedPageBreak/>
              <w:t>focalización que son las mesas de análisis de los proyectos integrados por las IMEF; uno de los criterios apunta a su vinculación con un diagnóstico estatal o la aplicación de metodologías para caracterizar el problema de la violencia contra las mujeres. Se recomienda evitar una dispersión de criterios o metodologías no apegadas estrictamente al problema de la violencia contra las mujeres y definir un mecanismo nacional o, en su caso, alguno orientado por los acuerdos de cada Sistema Estatal para Prevenir, Atender, Sancionar o Erradicar la Violencia contra las Mujeres.</w:t>
            </w:r>
          </w:p>
        </w:tc>
        <w:tc>
          <w:tcPr>
            <w:tcW w:w="5812" w:type="dxa"/>
            <w:vAlign w:val="center"/>
          </w:tcPr>
          <w:p w:rsidR="00870E3C" w:rsidRPr="00EF6FF9" w:rsidRDefault="00870E3C" w:rsidP="00EF6FF9">
            <w:pPr>
              <w:jc w:val="center"/>
              <w:rPr>
                <w:rFonts w:ascii="Arial" w:hAnsi="Arial" w:cs="Arial"/>
                <w:sz w:val="24"/>
                <w:szCs w:val="24"/>
              </w:rPr>
            </w:pPr>
            <w:r w:rsidRPr="00EF6FF9">
              <w:rPr>
                <w:rFonts w:ascii="Arial" w:hAnsi="Arial" w:cs="Arial"/>
                <w:sz w:val="24"/>
                <w:szCs w:val="24"/>
              </w:rPr>
              <w:lastRenderedPageBreak/>
              <w:t xml:space="preserve">El ASM establecido en el periodo 2013- 2014 denominado "Implementar un Protocolo de Mesas </w:t>
            </w:r>
            <w:r w:rsidRPr="00EF6FF9">
              <w:rPr>
                <w:rFonts w:ascii="Arial" w:hAnsi="Arial" w:cs="Arial"/>
                <w:sz w:val="24"/>
                <w:szCs w:val="24"/>
              </w:rPr>
              <w:lastRenderedPageBreak/>
              <w:t>de Revisión que garantice la orientación a resultados de los proyectos de las IMEF" (y el cual fue reportado con un avance de 100% en marzo de 2016), busca precisamente evitar la dispersión de criterios o metodologías no apegadas al problema de la violencia contra las mujeres. El procedimiento de dicho Protocolo ya fue incorporado en las ROP 2016 del PAIMEF (Anexo 6), lo cual garantiza su implementación y cumplimiento. Por esta razón, esta recomendación no cumple con los criterios de relevancia y justificación y no se clasifica como un ASM.</w:t>
            </w:r>
          </w:p>
        </w:tc>
        <w:tc>
          <w:tcPr>
            <w:tcW w:w="1979" w:type="dxa"/>
            <w:vAlign w:val="center"/>
          </w:tcPr>
          <w:p w:rsidR="00870E3C" w:rsidRPr="00EF6FF9" w:rsidRDefault="00EF6FF9" w:rsidP="00EF6FF9">
            <w:pPr>
              <w:jc w:val="center"/>
              <w:rPr>
                <w:rFonts w:ascii="Arial" w:hAnsi="Arial" w:cs="Arial"/>
                <w:sz w:val="24"/>
                <w:szCs w:val="24"/>
              </w:rPr>
            </w:pPr>
            <w:r w:rsidRPr="00EF6FF9">
              <w:rPr>
                <w:rFonts w:ascii="Arial" w:hAnsi="Arial" w:cs="Arial"/>
                <w:sz w:val="24"/>
                <w:szCs w:val="24"/>
              </w:rPr>
              <w:lastRenderedPageBreak/>
              <w:t>Evaluación de diseño 2015</w:t>
            </w:r>
          </w:p>
        </w:tc>
        <w:tc>
          <w:tcPr>
            <w:tcW w:w="1643" w:type="dxa"/>
            <w:vAlign w:val="center"/>
          </w:tcPr>
          <w:p w:rsidR="00870E3C" w:rsidRPr="00EF6FF9" w:rsidRDefault="00870E3C" w:rsidP="00EF6FF9">
            <w:pPr>
              <w:jc w:val="center"/>
              <w:rPr>
                <w:rFonts w:ascii="Arial" w:hAnsi="Arial" w:cs="Arial"/>
                <w:sz w:val="24"/>
                <w:szCs w:val="24"/>
              </w:rPr>
            </w:pPr>
          </w:p>
        </w:tc>
      </w:tr>
      <w:tr w:rsidR="00870E3C" w:rsidRPr="00EF6FF9" w:rsidTr="00EF6FF9">
        <w:trPr>
          <w:jc w:val="center"/>
        </w:trPr>
        <w:tc>
          <w:tcPr>
            <w:tcW w:w="4786" w:type="dxa"/>
            <w:vAlign w:val="center"/>
          </w:tcPr>
          <w:p w:rsidR="00870E3C" w:rsidRPr="00EF6FF9" w:rsidRDefault="00870E3C" w:rsidP="00EF6FF9">
            <w:pPr>
              <w:jc w:val="center"/>
              <w:rPr>
                <w:rFonts w:ascii="Arial" w:hAnsi="Arial" w:cs="Arial"/>
                <w:sz w:val="24"/>
                <w:szCs w:val="24"/>
              </w:rPr>
            </w:pPr>
            <w:r w:rsidRPr="00EF6FF9">
              <w:rPr>
                <w:rFonts w:ascii="Arial" w:hAnsi="Arial" w:cs="Arial"/>
                <w:sz w:val="24"/>
                <w:szCs w:val="24"/>
              </w:rPr>
              <w:lastRenderedPageBreak/>
              <w:t>(Pág. 24) El tiempo de la acción del Propósito está en presente como un evento que está sucediendo actualmente; se recomienda redactarlo como una situación alcanzada: Las mujeres en situación de violencia han sido beneficiadas con servicios de prevención y atención promovidos por las Instancias de Mujeres en las Entidades Federativas, en coordinación con instituciones públicas y sociales.</w:t>
            </w:r>
          </w:p>
        </w:tc>
        <w:tc>
          <w:tcPr>
            <w:tcW w:w="5812" w:type="dxa"/>
            <w:vAlign w:val="center"/>
          </w:tcPr>
          <w:p w:rsidR="00870E3C" w:rsidRPr="00EF6FF9" w:rsidRDefault="00870E3C" w:rsidP="00EF6FF9">
            <w:pPr>
              <w:jc w:val="center"/>
              <w:rPr>
                <w:rFonts w:ascii="Arial" w:hAnsi="Arial" w:cs="Arial"/>
                <w:sz w:val="24"/>
                <w:szCs w:val="24"/>
              </w:rPr>
            </w:pPr>
            <w:r w:rsidRPr="00EF6FF9">
              <w:rPr>
                <w:rFonts w:ascii="Arial" w:hAnsi="Arial" w:cs="Arial"/>
                <w:sz w:val="24"/>
                <w:szCs w:val="24"/>
              </w:rPr>
              <w:t>La sintaxis del propósito se encuentra definida en la Guía para el Diseño de la Matriz de Indicadores para Resultados, misma que establece que el propósito debe redactarse de la siguiente manera: "Propósito Sujeto: Población o área de</w:t>
            </w:r>
          </w:p>
          <w:p w:rsidR="00870E3C" w:rsidRPr="00EF6FF9" w:rsidRDefault="00870E3C" w:rsidP="00EF6FF9">
            <w:pPr>
              <w:jc w:val="center"/>
              <w:rPr>
                <w:rFonts w:ascii="Arial" w:hAnsi="Arial" w:cs="Arial"/>
                <w:sz w:val="24"/>
                <w:szCs w:val="24"/>
              </w:rPr>
            </w:pPr>
            <w:proofErr w:type="gramStart"/>
            <w:r w:rsidRPr="00EF6FF9">
              <w:rPr>
                <w:rFonts w:ascii="Arial" w:hAnsi="Arial" w:cs="Arial"/>
                <w:sz w:val="24"/>
                <w:szCs w:val="24"/>
              </w:rPr>
              <w:t>enfoque</w:t>
            </w:r>
            <w:proofErr w:type="gramEnd"/>
            <w:r w:rsidRPr="00EF6FF9">
              <w:rPr>
                <w:rFonts w:ascii="Arial" w:hAnsi="Arial" w:cs="Arial"/>
                <w:sz w:val="24"/>
                <w:szCs w:val="24"/>
              </w:rPr>
              <w:t xml:space="preserve"> + Verbo en presente + Complemento: resultado logrado". Por lo tanto, esta recomendación no cumple con el criterio de justificación ni con el de relevancia.</w:t>
            </w:r>
          </w:p>
        </w:tc>
        <w:tc>
          <w:tcPr>
            <w:tcW w:w="1979" w:type="dxa"/>
            <w:vAlign w:val="center"/>
          </w:tcPr>
          <w:p w:rsidR="00870E3C" w:rsidRPr="00EF6FF9" w:rsidRDefault="00EF6FF9" w:rsidP="00EF6FF9">
            <w:pPr>
              <w:jc w:val="center"/>
              <w:rPr>
                <w:rFonts w:ascii="Arial" w:hAnsi="Arial" w:cs="Arial"/>
                <w:sz w:val="24"/>
                <w:szCs w:val="24"/>
              </w:rPr>
            </w:pPr>
            <w:r w:rsidRPr="00EF6FF9">
              <w:rPr>
                <w:rFonts w:ascii="Arial" w:hAnsi="Arial" w:cs="Arial"/>
                <w:sz w:val="24"/>
                <w:szCs w:val="24"/>
              </w:rPr>
              <w:t>Evaluación de diseño 2015</w:t>
            </w:r>
          </w:p>
        </w:tc>
        <w:tc>
          <w:tcPr>
            <w:tcW w:w="1643" w:type="dxa"/>
            <w:vAlign w:val="center"/>
          </w:tcPr>
          <w:p w:rsidR="00870E3C" w:rsidRPr="00EF6FF9" w:rsidRDefault="00870E3C" w:rsidP="00EF6FF9">
            <w:pPr>
              <w:jc w:val="center"/>
              <w:rPr>
                <w:rFonts w:ascii="Arial" w:hAnsi="Arial" w:cs="Arial"/>
                <w:sz w:val="24"/>
                <w:szCs w:val="24"/>
              </w:rPr>
            </w:pPr>
          </w:p>
        </w:tc>
      </w:tr>
      <w:tr w:rsidR="00870E3C" w:rsidRPr="00EF6FF9" w:rsidTr="00EF6FF9">
        <w:trPr>
          <w:jc w:val="center"/>
        </w:trPr>
        <w:tc>
          <w:tcPr>
            <w:tcW w:w="4786" w:type="dxa"/>
            <w:vAlign w:val="center"/>
          </w:tcPr>
          <w:p w:rsidR="00870E3C" w:rsidRPr="00EF6FF9" w:rsidRDefault="00870E3C" w:rsidP="00EF6FF9">
            <w:pPr>
              <w:jc w:val="center"/>
              <w:rPr>
                <w:rFonts w:ascii="Arial" w:hAnsi="Arial" w:cs="Arial"/>
                <w:sz w:val="24"/>
                <w:szCs w:val="24"/>
              </w:rPr>
            </w:pPr>
            <w:r w:rsidRPr="00EF6FF9">
              <w:rPr>
                <w:rFonts w:ascii="Arial" w:hAnsi="Arial" w:cs="Arial"/>
                <w:sz w:val="24"/>
                <w:szCs w:val="24"/>
              </w:rPr>
              <w:t xml:space="preserve">(Pág. 25) El Fin repite dos veces el término "mediante acciones"; más que un problema de forma, lleva implícito dos objetivos diferentes: el de proteger el </w:t>
            </w:r>
            <w:r w:rsidRPr="00EF6FF9">
              <w:rPr>
                <w:rFonts w:ascii="Arial" w:hAnsi="Arial" w:cs="Arial"/>
                <w:sz w:val="24"/>
                <w:szCs w:val="24"/>
              </w:rPr>
              <w:lastRenderedPageBreak/>
              <w:t>ejercicio de los derechos y el de prevención y atención.</w:t>
            </w:r>
          </w:p>
        </w:tc>
        <w:tc>
          <w:tcPr>
            <w:tcW w:w="5812" w:type="dxa"/>
            <w:vAlign w:val="center"/>
          </w:tcPr>
          <w:p w:rsidR="00870E3C" w:rsidRPr="00EF6FF9" w:rsidRDefault="00870E3C" w:rsidP="00EF6FF9">
            <w:pPr>
              <w:jc w:val="center"/>
              <w:rPr>
                <w:rFonts w:ascii="Arial" w:hAnsi="Arial" w:cs="Arial"/>
                <w:sz w:val="24"/>
                <w:szCs w:val="24"/>
              </w:rPr>
            </w:pPr>
            <w:r w:rsidRPr="00EF6FF9">
              <w:rPr>
                <w:rFonts w:ascii="Arial" w:hAnsi="Arial" w:cs="Arial"/>
                <w:sz w:val="24"/>
                <w:szCs w:val="24"/>
              </w:rPr>
              <w:lastRenderedPageBreak/>
              <w:t xml:space="preserve">Esta recomendación no cumple con los criterios de relevancia, justificación ni factibilidad, toda vez que el numeral 18 de los "Criterios para el registro, revisión y actualización de la Matriz de Indicadores </w:t>
            </w:r>
            <w:r w:rsidRPr="00EF6FF9">
              <w:rPr>
                <w:rFonts w:ascii="Arial" w:hAnsi="Arial" w:cs="Arial"/>
                <w:sz w:val="24"/>
                <w:szCs w:val="24"/>
              </w:rPr>
              <w:lastRenderedPageBreak/>
              <w:t>para Resultados e Indicadores del Desempeño de los programas presupuestarios para el Ejercicio Fiscal 2016" define la sintaxis para la redacción del Fin de las Matrices de los programas, por lo que, al no poder redactar el fin de forma diferente no es factible hacer el cambio solicitado.</w:t>
            </w:r>
          </w:p>
        </w:tc>
        <w:tc>
          <w:tcPr>
            <w:tcW w:w="1979" w:type="dxa"/>
            <w:vAlign w:val="center"/>
          </w:tcPr>
          <w:p w:rsidR="00870E3C" w:rsidRPr="00EF6FF9" w:rsidRDefault="00EF6FF9" w:rsidP="00EF6FF9">
            <w:pPr>
              <w:jc w:val="center"/>
              <w:rPr>
                <w:rFonts w:ascii="Arial" w:hAnsi="Arial" w:cs="Arial"/>
                <w:sz w:val="24"/>
                <w:szCs w:val="24"/>
              </w:rPr>
            </w:pPr>
            <w:r w:rsidRPr="00EF6FF9">
              <w:rPr>
                <w:rFonts w:ascii="Arial" w:hAnsi="Arial" w:cs="Arial"/>
                <w:sz w:val="24"/>
                <w:szCs w:val="24"/>
              </w:rPr>
              <w:lastRenderedPageBreak/>
              <w:t>Evaluación de diseño 2015</w:t>
            </w:r>
          </w:p>
        </w:tc>
        <w:tc>
          <w:tcPr>
            <w:tcW w:w="1643" w:type="dxa"/>
            <w:vAlign w:val="center"/>
          </w:tcPr>
          <w:p w:rsidR="00870E3C" w:rsidRPr="00EF6FF9" w:rsidRDefault="00870E3C" w:rsidP="00EF6FF9">
            <w:pPr>
              <w:jc w:val="center"/>
              <w:rPr>
                <w:rFonts w:ascii="Arial" w:hAnsi="Arial" w:cs="Arial"/>
                <w:sz w:val="24"/>
                <w:szCs w:val="24"/>
              </w:rPr>
            </w:pPr>
          </w:p>
        </w:tc>
      </w:tr>
      <w:tr w:rsidR="00870E3C" w:rsidRPr="00EF6FF9" w:rsidTr="00EF6FF9">
        <w:trPr>
          <w:jc w:val="center"/>
        </w:trPr>
        <w:tc>
          <w:tcPr>
            <w:tcW w:w="4786" w:type="dxa"/>
            <w:vAlign w:val="center"/>
          </w:tcPr>
          <w:p w:rsidR="00870E3C" w:rsidRPr="00EF6FF9" w:rsidRDefault="00870E3C" w:rsidP="00EF6FF9">
            <w:pPr>
              <w:jc w:val="center"/>
              <w:rPr>
                <w:rFonts w:ascii="Arial" w:hAnsi="Arial" w:cs="Arial"/>
                <w:sz w:val="24"/>
                <w:szCs w:val="24"/>
              </w:rPr>
            </w:pPr>
            <w:r w:rsidRPr="00EF6FF9">
              <w:rPr>
                <w:rFonts w:ascii="Arial" w:hAnsi="Arial" w:cs="Arial"/>
                <w:sz w:val="24"/>
                <w:szCs w:val="24"/>
              </w:rPr>
              <w:lastRenderedPageBreak/>
              <w:t>Mejorar la redacción del indicador de Propósito; es inadecuado decir "atención preventiva" porque se presta a confusión dado que se está hablando de dos modelos independientes: el de prevención y el de atención. Se recomienda expresar los indicadores en “tasas”, además de consignar el registro administrativo como conteo o sumatoria; esto permitirá verificar la incidencia del problema que atiende el Programa.</w:t>
            </w:r>
          </w:p>
        </w:tc>
        <w:tc>
          <w:tcPr>
            <w:tcW w:w="5812" w:type="dxa"/>
            <w:vAlign w:val="center"/>
          </w:tcPr>
          <w:p w:rsidR="00870E3C" w:rsidRPr="00EF6FF9" w:rsidRDefault="00870E3C" w:rsidP="00EF6FF9">
            <w:pPr>
              <w:jc w:val="center"/>
              <w:rPr>
                <w:rFonts w:ascii="Arial" w:hAnsi="Arial" w:cs="Arial"/>
                <w:sz w:val="24"/>
                <w:szCs w:val="24"/>
              </w:rPr>
            </w:pPr>
            <w:r w:rsidRPr="00EF6FF9">
              <w:rPr>
                <w:rFonts w:ascii="Arial" w:hAnsi="Arial" w:cs="Arial"/>
                <w:sz w:val="24"/>
                <w:szCs w:val="24"/>
              </w:rPr>
              <w:t>Esta recomendación ya se encuentra atendida en la MIR 2016 del Programa, ya que se incluyen dos indicadores distintos para dar cuenta del tema de atención y el de prevención de forma diferenciada.</w:t>
            </w:r>
          </w:p>
        </w:tc>
        <w:tc>
          <w:tcPr>
            <w:tcW w:w="1979" w:type="dxa"/>
            <w:vAlign w:val="center"/>
          </w:tcPr>
          <w:p w:rsidR="00870E3C" w:rsidRPr="00EF6FF9" w:rsidRDefault="00EF6FF9" w:rsidP="00EF6FF9">
            <w:pPr>
              <w:jc w:val="center"/>
              <w:rPr>
                <w:rFonts w:ascii="Arial" w:hAnsi="Arial" w:cs="Arial"/>
                <w:sz w:val="24"/>
                <w:szCs w:val="24"/>
              </w:rPr>
            </w:pPr>
            <w:r w:rsidRPr="00EF6FF9">
              <w:rPr>
                <w:rFonts w:ascii="Arial" w:hAnsi="Arial" w:cs="Arial"/>
                <w:sz w:val="24"/>
                <w:szCs w:val="24"/>
              </w:rPr>
              <w:t>Evaluación de diseño 2015</w:t>
            </w:r>
          </w:p>
        </w:tc>
        <w:tc>
          <w:tcPr>
            <w:tcW w:w="1643" w:type="dxa"/>
            <w:vAlign w:val="center"/>
          </w:tcPr>
          <w:p w:rsidR="00870E3C" w:rsidRPr="00EF6FF9" w:rsidRDefault="00870E3C" w:rsidP="00EF6FF9">
            <w:pPr>
              <w:jc w:val="center"/>
              <w:rPr>
                <w:rFonts w:ascii="Arial" w:hAnsi="Arial" w:cs="Arial"/>
                <w:sz w:val="24"/>
                <w:szCs w:val="24"/>
              </w:rPr>
            </w:pPr>
          </w:p>
        </w:tc>
      </w:tr>
      <w:tr w:rsidR="00870E3C" w:rsidRPr="00EF6FF9" w:rsidTr="00EF6FF9">
        <w:trPr>
          <w:jc w:val="center"/>
        </w:trPr>
        <w:tc>
          <w:tcPr>
            <w:tcW w:w="4786" w:type="dxa"/>
            <w:vAlign w:val="center"/>
          </w:tcPr>
          <w:p w:rsidR="00870E3C" w:rsidRPr="00EF6FF9" w:rsidRDefault="00870E3C" w:rsidP="00EF6FF9">
            <w:pPr>
              <w:jc w:val="center"/>
              <w:rPr>
                <w:rFonts w:ascii="Arial" w:hAnsi="Arial" w:cs="Arial"/>
                <w:sz w:val="24"/>
                <w:szCs w:val="24"/>
              </w:rPr>
            </w:pPr>
            <w:r w:rsidRPr="00EF6FF9">
              <w:rPr>
                <w:rFonts w:ascii="Arial" w:hAnsi="Arial" w:cs="Arial"/>
                <w:sz w:val="24"/>
                <w:szCs w:val="24"/>
              </w:rPr>
              <w:t>(Pág. 31) Se recomienda trabajar con tasas en el indicador del Propósito, no sólo porque el dato actual definido como un recuento de las mujeres beneficiadas por el Programa, no permite dimensionar la incidencia del esfuerzo gubernamental en cada entidad federativa, sino porque se requiere por la Convención de Belem do Pará, para efectos de comparabilidad internacional como señal de progreso. Se recomienda hacer la estimación de casos por cada 100,000 mujeres.</w:t>
            </w:r>
          </w:p>
        </w:tc>
        <w:tc>
          <w:tcPr>
            <w:tcW w:w="5812" w:type="dxa"/>
            <w:vAlign w:val="center"/>
          </w:tcPr>
          <w:p w:rsidR="00870E3C" w:rsidRPr="00EF6FF9" w:rsidRDefault="00EF6FF9" w:rsidP="00EF6FF9">
            <w:pPr>
              <w:jc w:val="center"/>
              <w:rPr>
                <w:rFonts w:ascii="Arial" w:hAnsi="Arial" w:cs="Arial"/>
                <w:sz w:val="24"/>
                <w:szCs w:val="24"/>
              </w:rPr>
            </w:pPr>
            <w:r w:rsidRPr="00EF6FF9">
              <w:rPr>
                <w:rFonts w:ascii="Arial" w:hAnsi="Arial" w:cs="Arial"/>
                <w:sz w:val="24"/>
                <w:szCs w:val="24"/>
              </w:rPr>
              <w:t>Esta recomendación ya se encuentra atendida en la MIR 2016 del Programa, ya que se incluyen indicadores a nivel Propósito expresados en tasas; por lo que no cumple con los criterios de relevancia ni de justificación.</w:t>
            </w:r>
          </w:p>
        </w:tc>
        <w:tc>
          <w:tcPr>
            <w:tcW w:w="1979" w:type="dxa"/>
            <w:vAlign w:val="center"/>
          </w:tcPr>
          <w:p w:rsidR="00870E3C" w:rsidRPr="00EF6FF9" w:rsidRDefault="00EF6FF9" w:rsidP="00EF6FF9">
            <w:pPr>
              <w:jc w:val="center"/>
              <w:rPr>
                <w:rFonts w:ascii="Arial" w:hAnsi="Arial" w:cs="Arial"/>
                <w:sz w:val="24"/>
                <w:szCs w:val="24"/>
              </w:rPr>
            </w:pPr>
            <w:r w:rsidRPr="00EF6FF9">
              <w:rPr>
                <w:rFonts w:ascii="Arial" w:hAnsi="Arial" w:cs="Arial"/>
                <w:sz w:val="24"/>
                <w:szCs w:val="24"/>
              </w:rPr>
              <w:t>Evaluación de diseño 2015</w:t>
            </w:r>
          </w:p>
        </w:tc>
        <w:tc>
          <w:tcPr>
            <w:tcW w:w="1643" w:type="dxa"/>
            <w:vAlign w:val="center"/>
          </w:tcPr>
          <w:p w:rsidR="00870E3C" w:rsidRPr="00EF6FF9" w:rsidRDefault="00870E3C" w:rsidP="00EF6FF9">
            <w:pPr>
              <w:jc w:val="center"/>
              <w:rPr>
                <w:rFonts w:ascii="Arial" w:hAnsi="Arial" w:cs="Arial"/>
                <w:sz w:val="24"/>
                <w:szCs w:val="24"/>
              </w:rPr>
            </w:pPr>
          </w:p>
        </w:tc>
      </w:tr>
      <w:tr w:rsidR="00870E3C" w:rsidRPr="00EF6FF9" w:rsidTr="00EF6FF9">
        <w:trPr>
          <w:jc w:val="center"/>
        </w:trPr>
        <w:tc>
          <w:tcPr>
            <w:tcW w:w="4786" w:type="dxa"/>
            <w:vAlign w:val="center"/>
          </w:tcPr>
          <w:p w:rsidR="00870E3C" w:rsidRPr="00EF6FF9" w:rsidRDefault="00EF6FF9" w:rsidP="00EF6FF9">
            <w:pPr>
              <w:jc w:val="center"/>
              <w:rPr>
                <w:rFonts w:ascii="Arial" w:hAnsi="Arial" w:cs="Arial"/>
                <w:sz w:val="24"/>
                <w:szCs w:val="24"/>
              </w:rPr>
            </w:pPr>
            <w:r w:rsidRPr="00EF6FF9">
              <w:rPr>
                <w:rFonts w:ascii="Arial" w:hAnsi="Arial" w:cs="Arial"/>
                <w:sz w:val="24"/>
                <w:szCs w:val="24"/>
              </w:rPr>
              <w:t xml:space="preserve">Se recomienda hacer explícito y único el </w:t>
            </w:r>
            <w:r w:rsidRPr="00EF6FF9">
              <w:rPr>
                <w:rFonts w:ascii="Arial" w:hAnsi="Arial" w:cs="Arial"/>
                <w:sz w:val="24"/>
                <w:szCs w:val="24"/>
              </w:rPr>
              <w:lastRenderedPageBreak/>
              <w:t>contribuir al Fin de prevenir, atender, sancionar y erradicar la violencia contra las mujeres; de esta forma, se alinearía con el mandato de la ley que le rige directamente: LGAMVLV, además de tres sentencias de la Corte Interamericana de Derechos Humanos. Mandato que es jurídicamente de mismo nivel de obligatoriedad que la Constitución mexicana.</w:t>
            </w:r>
          </w:p>
        </w:tc>
        <w:tc>
          <w:tcPr>
            <w:tcW w:w="5812" w:type="dxa"/>
            <w:vAlign w:val="center"/>
          </w:tcPr>
          <w:p w:rsidR="00870E3C" w:rsidRPr="00EF6FF9" w:rsidRDefault="00EF6FF9" w:rsidP="00EF6FF9">
            <w:pPr>
              <w:jc w:val="center"/>
              <w:rPr>
                <w:rFonts w:ascii="Arial" w:hAnsi="Arial" w:cs="Arial"/>
                <w:sz w:val="24"/>
                <w:szCs w:val="24"/>
              </w:rPr>
            </w:pPr>
            <w:r w:rsidRPr="00EF6FF9">
              <w:rPr>
                <w:rFonts w:ascii="Arial" w:hAnsi="Arial" w:cs="Arial"/>
                <w:sz w:val="24"/>
                <w:szCs w:val="24"/>
              </w:rPr>
              <w:lastRenderedPageBreak/>
              <w:t xml:space="preserve">Esta recomendación no cumple con el criterio de </w:t>
            </w:r>
            <w:r w:rsidRPr="00EF6FF9">
              <w:rPr>
                <w:rFonts w:ascii="Arial" w:hAnsi="Arial" w:cs="Arial"/>
                <w:sz w:val="24"/>
                <w:szCs w:val="24"/>
              </w:rPr>
              <w:lastRenderedPageBreak/>
              <w:t>factibilidad, toda vez que algunos de los elementos que se señalan como parte del Fin del programa, en realidad rebasan las capacidades y atribuciones del programa.</w:t>
            </w:r>
          </w:p>
        </w:tc>
        <w:tc>
          <w:tcPr>
            <w:tcW w:w="1979" w:type="dxa"/>
            <w:vAlign w:val="center"/>
          </w:tcPr>
          <w:p w:rsidR="00870E3C" w:rsidRPr="00EF6FF9" w:rsidRDefault="00EF6FF9" w:rsidP="00EF6FF9">
            <w:pPr>
              <w:jc w:val="center"/>
              <w:rPr>
                <w:rFonts w:ascii="Arial" w:hAnsi="Arial" w:cs="Arial"/>
                <w:sz w:val="24"/>
                <w:szCs w:val="24"/>
              </w:rPr>
            </w:pPr>
            <w:r w:rsidRPr="00EF6FF9">
              <w:rPr>
                <w:rFonts w:ascii="Arial" w:hAnsi="Arial" w:cs="Arial"/>
                <w:sz w:val="24"/>
                <w:szCs w:val="24"/>
              </w:rPr>
              <w:lastRenderedPageBreak/>
              <w:t xml:space="preserve">Evaluación de </w:t>
            </w:r>
            <w:r w:rsidRPr="00EF6FF9">
              <w:rPr>
                <w:rFonts w:ascii="Arial" w:hAnsi="Arial" w:cs="Arial"/>
                <w:sz w:val="24"/>
                <w:szCs w:val="24"/>
              </w:rPr>
              <w:lastRenderedPageBreak/>
              <w:t>diseño 2015</w:t>
            </w:r>
          </w:p>
        </w:tc>
        <w:tc>
          <w:tcPr>
            <w:tcW w:w="1643" w:type="dxa"/>
            <w:vAlign w:val="center"/>
          </w:tcPr>
          <w:p w:rsidR="00870E3C" w:rsidRPr="00EF6FF9" w:rsidRDefault="00870E3C" w:rsidP="00EF6FF9">
            <w:pPr>
              <w:jc w:val="center"/>
              <w:rPr>
                <w:rFonts w:ascii="Arial" w:hAnsi="Arial" w:cs="Arial"/>
                <w:sz w:val="24"/>
                <w:szCs w:val="24"/>
              </w:rPr>
            </w:pPr>
          </w:p>
        </w:tc>
      </w:tr>
      <w:tr w:rsidR="00870E3C" w:rsidRPr="00EF6FF9" w:rsidTr="00EF6FF9">
        <w:trPr>
          <w:jc w:val="center"/>
        </w:trPr>
        <w:tc>
          <w:tcPr>
            <w:tcW w:w="4786" w:type="dxa"/>
            <w:vAlign w:val="center"/>
          </w:tcPr>
          <w:p w:rsidR="00870E3C" w:rsidRPr="00EF6FF9" w:rsidRDefault="00EF6FF9" w:rsidP="00EF6FF9">
            <w:pPr>
              <w:jc w:val="center"/>
              <w:rPr>
                <w:rFonts w:ascii="Arial" w:hAnsi="Arial" w:cs="Arial"/>
                <w:sz w:val="24"/>
                <w:szCs w:val="24"/>
              </w:rPr>
            </w:pPr>
            <w:r w:rsidRPr="00EF6FF9">
              <w:rPr>
                <w:rFonts w:ascii="Arial" w:hAnsi="Arial" w:cs="Arial"/>
                <w:sz w:val="24"/>
                <w:szCs w:val="24"/>
              </w:rPr>
              <w:lastRenderedPageBreak/>
              <w:t>El Programa no presenta información que permita identificar el gasto unitario; esto representa un área de oportunidad con base en las poblaciones beneficiarias contenidas en los proyectos que anualmente son aprobados para las IMEF.</w:t>
            </w:r>
          </w:p>
        </w:tc>
        <w:tc>
          <w:tcPr>
            <w:tcW w:w="5812" w:type="dxa"/>
            <w:vAlign w:val="center"/>
          </w:tcPr>
          <w:p w:rsidR="00870E3C" w:rsidRPr="00EF6FF9" w:rsidRDefault="00EF6FF9" w:rsidP="00EF6FF9">
            <w:pPr>
              <w:jc w:val="center"/>
              <w:rPr>
                <w:rFonts w:ascii="Arial" w:hAnsi="Arial" w:cs="Arial"/>
                <w:sz w:val="24"/>
                <w:szCs w:val="24"/>
              </w:rPr>
            </w:pPr>
            <w:r w:rsidRPr="00EF6FF9">
              <w:rPr>
                <w:rFonts w:ascii="Arial" w:hAnsi="Arial" w:cs="Arial"/>
                <w:sz w:val="24"/>
                <w:szCs w:val="24"/>
              </w:rPr>
              <w:t>Dada la variedad de proyectos, acciones y recursos materiales financiados con los subsidios que entrega el programa, esta recomendación no cumple con el criterio de factibilidad, ya que en algunos casos específicos no podría realizarse este cálculo. Por tal motivo, no se clasifica como ASM.</w:t>
            </w:r>
          </w:p>
        </w:tc>
        <w:tc>
          <w:tcPr>
            <w:tcW w:w="1979" w:type="dxa"/>
            <w:vAlign w:val="center"/>
          </w:tcPr>
          <w:p w:rsidR="00870E3C" w:rsidRPr="00EF6FF9" w:rsidRDefault="00EF6FF9" w:rsidP="00EF6FF9">
            <w:pPr>
              <w:jc w:val="center"/>
              <w:rPr>
                <w:rFonts w:ascii="Arial" w:hAnsi="Arial" w:cs="Arial"/>
                <w:sz w:val="24"/>
                <w:szCs w:val="24"/>
              </w:rPr>
            </w:pPr>
            <w:r w:rsidRPr="00EF6FF9">
              <w:rPr>
                <w:rFonts w:ascii="Arial" w:hAnsi="Arial" w:cs="Arial"/>
                <w:sz w:val="24"/>
                <w:szCs w:val="24"/>
              </w:rPr>
              <w:t>Evaluación de diseño 2015</w:t>
            </w:r>
          </w:p>
        </w:tc>
        <w:tc>
          <w:tcPr>
            <w:tcW w:w="1643" w:type="dxa"/>
            <w:vAlign w:val="center"/>
          </w:tcPr>
          <w:p w:rsidR="00870E3C" w:rsidRPr="00EF6FF9" w:rsidRDefault="00870E3C" w:rsidP="00EF6FF9">
            <w:pPr>
              <w:jc w:val="center"/>
              <w:rPr>
                <w:rFonts w:ascii="Arial" w:hAnsi="Arial" w:cs="Arial"/>
                <w:sz w:val="24"/>
                <w:szCs w:val="24"/>
              </w:rPr>
            </w:pPr>
          </w:p>
        </w:tc>
      </w:tr>
      <w:tr w:rsidR="00870E3C" w:rsidRPr="00EF6FF9" w:rsidTr="00EF6FF9">
        <w:trPr>
          <w:jc w:val="center"/>
        </w:trPr>
        <w:tc>
          <w:tcPr>
            <w:tcW w:w="4786" w:type="dxa"/>
            <w:vAlign w:val="center"/>
          </w:tcPr>
          <w:p w:rsidR="00870E3C" w:rsidRPr="00EF6FF9" w:rsidRDefault="00EF6FF9" w:rsidP="00EF6FF9">
            <w:pPr>
              <w:jc w:val="center"/>
              <w:rPr>
                <w:rFonts w:ascii="Arial" w:hAnsi="Arial" w:cs="Arial"/>
                <w:sz w:val="24"/>
                <w:szCs w:val="24"/>
              </w:rPr>
            </w:pPr>
            <w:r w:rsidRPr="00EF6FF9">
              <w:rPr>
                <w:rFonts w:ascii="Arial" w:hAnsi="Arial" w:cs="Arial"/>
                <w:sz w:val="24"/>
                <w:szCs w:val="24"/>
              </w:rPr>
              <w:t>Se recomienda reforzar para llevar a cabo campañas nacionales de sensibilización sobre los riesgos y consecuencias de la trata de personas, así como sobre la discriminación de género y los tipos y modalidades de violencias contra las mujeres.</w:t>
            </w:r>
          </w:p>
        </w:tc>
        <w:tc>
          <w:tcPr>
            <w:tcW w:w="5812" w:type="dxa"/>
            <w:vAlign w:val="center"/>
          </w:tcPr>
          <w:p w:rsidR="00870E3C" w:rsidRPr="00EF6FF9" w:rsidRDefault="00EF6FF9" w:rsidP="00EF6FF9">
            <w:pPr>
              <w:jc w:val="center"/>
              <w:rPr>
                <w:rFonts w:ascii="Arial" w:hAnsi="Arial" w:cs="Arial"/>
                <w:sz w:val="24"/>
                <w:szCs w:val="24"/>
              </w:rPr>
            </w:pPr>
            <w:r w:rsidRPr="00EF6FF9">
              <w:rPr>
                <w:rFonts w:ascii="Arial" w:hAnsi="Arial" w:cs="Arial"/>
                <w:sz w:val="24"/>
                <w:szCs w:val="24"/>
              </w:rPr>
              <w:t>Esta recomendación no cumple con el criterio de claridad, puesto que no menciona qué acciones deberían reforzarse, por lo que no se clasifica como ASM.</w:t>
            </w:r>
          </w:p>
        </w:tc>
        <w:tc>
          <w:tcPr>
            <w:tcW w:w="1979" w:type="dxa"/>
            <w:vAlign w:val="center"/>
          </w:tcPr>
          <w:p w:rsidR="00870E3C" w:rsidRPr="00EF6FF9" w:rsidRDefault="00EF6FF9" w:rsidP="00EF6FF9">
            <w:pPr>
              <w:jc w:val="center"/>
              <w:rPr>
                <w:rFonts w:ascii="Arial" w:hAnsi="Arial" w:cs="Arial"/>
                <w:sz w:val="24"/>
                <w:szCs w:val="24"/>
              </w:rPr>
            </w:pPr>
            <w:r w:rsidRPr="00EF6FF9">
              <w:rPr>
                <w:rFonts w:ascii="Arial" w:hAnsi="Arial" w:cs="Arial"/>
                <w:sz w:val="24"/>
                <w:szCs w:val="24"/>
              </w:rPr>
              <w:t>Evaluación de diseño 2015</w:t>
            </w:r>
          </w:p>
        </w:tc>
        <w:tc>
          <w:tcPr>
            <w:tcW w:w="1643" w:type="dxa"/>
            <w:vAlign w:val="center"/>
          </w:tcPr>
          <w:p w:rsidR="00870E3C" w:rsidRPr="00EF6FF9" w:rsidRDefault="00870E3C" w:rsidP="00EF6FF9">
            <w:pPr>
              <w:jc w:val="center"/>
              <w:rPr>
                <w:rFonts w:ascii="Arial" w:hAnsi="Arial" w:cs="Arial"/>
                <w:sz w:val="24"/>
                <w:szCs w:val="24"/>
              </w:rPr>
            </w:pPr>
          </w:p>
        </w:tc>
      </w:tr>
    </w:tbl>
    <w:p w:rsidR="000F10BC" w:rsidRDefault="000F10BC"/>
    <w:sectPr w:rsidR="000F10BC" w:rsidSect="00D1609D">
      <w:headerReference w:type="default" r:id="rId7"/>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765" w:rsidRDefault="00436765" w:rsidP="00EF6FF9">
      <w:pPr>
        <w:spacing w:after="0" w:line="240" w:lineRule="auto"/>
      </w:pPr>
      <w:r>
        <w:separator/>
      </w:r>
    </w:p>
  </w:endnote>
  <w:endnote w:type="continuationSeparator" w:id="0">
    <w:p w:rsidR="00436765" w:rsidRDefault="00436765" w:rsidP="00EF6F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765" w:rsidRDefault="00436765" w:rsidP="00EF6FF9">
      <w:pPr>
        <w:spacing w:after="0" w:line="240" w:lineRule="auto"/>
      </w:pPr>
      <w:r>
        <w:separator/>
      </w:r>
    </w:p>
  </w:footnote>
  <w:footnote w:type="continuationSeparator" w:id="0">
    <w:p w:rsidR="00436765" w:rsidRDefault="00436765" w:rsidP="00EF6F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53C" w:rsidRPr="0011653C" w:rsidRDefault="0011653C" w:rsidP="0011653C">
    <w:pPr>
      <w:pStyle w:val="Default"/>
    </w:pPr>
    <w:r>
      <w:rPr>
        <w:rFonts w:ascii="Arial" w:hAnsi="Arial" w:cs="Arial"/>
      </w:rPr>
      <w:t xml:space="preserve">Anexo 9. </w:t>
    </w:r>
    <w:r w:rsidRPr="0011653C">
      <w:rPr>
        <w:rFonts w:ascii="Arial" w:hAnsi="Arial" w:cs="Arial"/>
        <w:iCs/>
      </w:rPr>
      <w:t>“Análisis de recomendaciones no atendidas derivadas de evaluaciones externas”.</w:t>
    </w:r>
    <w:r>
      <w:rPr>
        <w:i/>
        <w:iCs/>
        <w:sz w:val="22"/>
        <w:szCs w:val="22"/>
      </w:rPr>
      <w:t xml:space="preserve"> </w:t>
    </w:r>
  </w:p>
  <w:p w:rsidR="0011653C" w:rsidRPr="0011653C" w:rsidRDefault="0011653C">
    <w:pPr>
      <w:pStyle w:val="Encabezado"/>
      <w:rPr>
        <w:rFonts w:ascii="Arial" w:hAnsi="Arial" w:cs="Arial"/>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609D"/>
    <w:rsid w:val="00097DF4"/>
    <w:rsid w:val="000F10BC"/>
    <w:rsid w:val="0011653C"/>
    <w:rsid w:val="002C481D"/>
    <w:rsid w:val="00436765"/>
    <w:rsid w:val="00870E3C"/>
    <w:rsid w:val="00D1609D"/>
    <w:rsid w:val="00EF6FF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D160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EF6FF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F6FF9"/>
  </w:style>
  <w:style w:type="paragraph" w:styleId="Piedepgina">
    <w:name w:val="footer"/>
    <w:basedOn w:val="Normal"/>
    <w:link w:val="PiedepginaCar"/>
    <w:uiPriority w:val="99"/>
    <w:unhideWhenUsed/>
    <w:rsid w:val="00EF6FF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F6FF9"/>
  </w:style>
  <w:style w:type="paragraph" w:customStyle="1" w:styleId="Default">
    <w:name w:val="Default"/>
    <w:rsid w:val="0011653C"/>
    <w:pPr>
      <w:autoSpaceDE w:val="0"/>
      <w:autoSpaceDN w:val="0"/>
      <w:adjustRightInd w:val="0"/>
      <w:spacing w:after="0" w:line="240" w:lineRule="auto"/>
    </w:pPr>
    <w:rPr>
      <w:rFonts w:ascii="Century Gothic" w:hAnsi="Century Gothic" w:cs="Century Gothic"/>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D160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EF6FF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F6FF9"/>
  </w:style>
  <w:style w:type="paragraph" w:styleId="Piedepgina">
    <w:name w:val="footer"/>
    <w:basedOn w:val="Normal"/>
    <w:link w:val="PiedepginaCar"/>
    <w:uiPriority w:val="99"/>
    <w:unhideWhenUsed/>
    <w:rsid w:val="00EF6FF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F6FF9"/>
  </w:style>
  <w:style w:type="paragraph" w:customStyle="1" w:styleId="Default">
    <w:name w:val="Default"/>
    <w:rsid w:val="0011653C"/>
    <w:pPr>
      <w:autoSpaceDE w:val="0"/>
      <w:autoSpaceDN w:val="0"/>
      <w:adjustRightInd w:val="0"/>
      <w:spacing w:after="0" w:line="240" w:lineRule="auto"/>
    </w:pPr>
    <w:rPr>
      <w:rFonts w:ascii="Century Gothic" w:hAnsi="Century Gothic" w:cs="Century Gothi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8</Pages>
  <Words>2211</Words>
  <Characters>12162</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Andreita</dc:creator>
  <cp:lastModifiedBy>Andreita</cp:lastModifiedBy>
  <cp:revision>1</cp:revision>
  <dcterms:created xsi:type="dcterms:W3CDTF">2017-11-24T09:54:00Z</dcterms:created>
  <dcterms:modified xsi:type="dcterms:W3CDTF">2017-11-24T10:53:00Z</dcterms:modified>
</cp:coreProperties>
</file>